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624" w:beforeLines="200"/>
        <w:jc w:val="center"/>
        <w:rPr>
          <w:rFonts w:eastAsia="黑体"/>
          <w:b/>
          <w:sz w:val="52"/>
        </w:rPr>
      </w:pPr>
      <w:r>
        <w:rPr>
          <w:rFonts w:hint="eastAsia" w:eastAsia="黑体"/>
          <w:b/>
          <w:sz w:val="52"/>
        </w:rPr>
        <w:drawing>
          <wp:anchor distT="0" distB="0" distL="114300" distR="114300" simplePos="0" relativeHeight="251659264" behindDoc="1" locked="0" layoutInCell="1" allowOverlap="1">
            <wp:simplePos x="0" y="0"/>
            <wp:positionH relativeFrom="column">
              <wp:posOffset>-710565</wp:posOffset>
            </wp:positionH>
            <wp:positionV relativeFrom="paragraph">
              <wp:posOffset>-904875</wp:posOffset>
            </wp:positionV>
            <wp:extent cx="7589520" cy="2806065"/>
            <wp:effectExtent l="19050" t="0" r="0" b="0"/>
            <wp:wrapTight wrapText="bothSides">
              <wp:wrapPolygon>
                <wp:start x="-54" y="0"/>
                <wp:lineTo x="-54" y="21409"/>
                <wp:lineTo x="21578" y="21409"/>
                <wp:lineTo x="21578" y="0"/>
                <wp:lineTo x="-54" y="0"/>
              </wp:wrapPolygon>
            </wp:wrapTight>
            <wp:docPr id="2" name="图片 2"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模板-3"/>
                    <pic:cNvPicPr>
                      <a:picLocks noChangeAspect="1" noChangeArrowheads="1"/>
                    </pic:cNvPicPr>
                  </pic:nvPicPr>
                  <pic:blipFill>
                    <a:blip r:embed="rId15" cstate="print"/>
                    <a:srcRect/>
                    <a:stretch>
                      <a:fillRect/>
                    </a:stretch>
                  </pic:blipFill>
                  <pic:spPr>
                    <a:xfrm>
                      <a:off x="0" y="0"/>
                      <a:ext cx="7589520" cy="2806065"/>
                    </a:xfrm>
                    <a:prstGeom prst="rect">
                      <a:avLst/>
                    </a:prstGeom>
                    <a:noFill/>
                    <a:ln w="9525">
                      <a:noFill/>
                      <a:miter lim="800000"/>
                      <a:headEnd/>
                      <a:tailEnd/>
                    </a:ln>
                  </pic:spPr>
                </pic:pic>
              </a:graphicData>
            </a:graphic>
          </wp:anchor>
        </w:drawing>
      </w:r>
      <w:r>
        <w:rPr>
          <w:rFonts w:hint="eastAsia" w:eastAsia="黑体"/>
          <w:b/>
          <w:sz w:val="52"/>
        </w:rPr>
        <w:t>110kV-500kV油浸电容式电压互感器</w:t>
      </w:r>
    </w:p>
    <w:p>
      <w:pPr>
        <w:spacing w:before="624" w:beforeLines="200"/>
        <w:jc w:val="center"/>
        <w:rPr>
          <w:rFonts w:hint="eastAsia" w:eastAsia="黑体"/>
          <w:b/>
          <w:color w:val="000000" w:themeColor="text1"/>
          <w:sz w:val="52"/>
          <w14:textFill>
            <w14:solidFill>
              <w14:schemeClr w14:val="tx1"/>
            </w14:solidFill>
          </w14:textFill>
        </w:rPr>
      </w:pPr>
      <w:r>
        <w:rPr>
          <w:rFonts w:hint="eastAsia" w:eastAsia="黑体"/>
          <w:b/>
          <w:color w:val="000000" w:themeColor="text1"/>
          <w:sz w:val="52"/>
          <w14:textFill>
            <w14:solidFill>
              <w14:schemeClr w14:val="tx1"/>
            </w14:solidFill>
          </w14:textFill>
        </w:rPr>
        <w:t>技术规范书</w:t>
      </w:r>
    </w:p>
    <w:p>
      <w:pPr>
        <w:pStyle w:val="2"/>
      </w:pPr>
    </w:p>
    <w:p>
      <w:pPr>
        <w:keepNext w:val="0"/>
        <w:keepLines w:val="0"/>
        <w:pageBreakBefore w:val="0"/>
        <w:widowControl w:val="0"/>
        <w:kinsoku/>
        <w:wordWrap/>
        <w:overflowPunct/>
        <w:topLinePunct w:val="0"/>
        <w:autoSpaceDE/>
        <w:autoSpaceDN/>
        <w:bidi w:val="0"/>
        <w:adjustRightInd/>
        <w:snapToGrid/>
        <w:spacing w:before="469" w:beforeLines="150" w:line="0" w:lineRule="atLeast"/>
        <w:ind w:left="0" w:leftChars="0" w:right="0" w:rightChars="0" w:firstLine="0" w:firstLineChars="0"/>
        <w:jc w:val="center"/>
        <w:textAlignment w:val="auto"/>
        <w:outlineLvl w:val="9"/>
        <w:rPr>
          <w:rFonts w:hint="eastAsia" w:ascii="黑体" w:hAnsi="黑体" w:eastAsia="黑体"/>
          <w:b/>
          <w:sz w:val="36"/>
          <w:highlight w:val="yellow"/>
          <w:lang w:eastAsia="zh-CN"/>
        </w:rPr>
      </w:pPr>
      <w:r>
        <w:rPr>
          <w:rFonts w:hint="eastAsia" w:ascii="黑体" w:hAnsi="黑体" w:eastAsia="黑体"/>
          <w:b/>
          <w:sz w:val="36"/>
          <w:highlight w:val="yellow"/>
          <w:lang w:eastAsia="zh-CN"/>
        </w:rPr>
        <w:t>广西国电投新能源科技有限公司</w:t>
      </w:r>
    </w:p>
    <w:p>
      <w:pPr>
        <w:keepNext w:val="0"/>
        <w:keepLines w:val="0"/>
        <w:pageBreakBefore w:val="0"/>
        <w:widowControl w:val="0"/>
        <w:kinsoku/>
        <w:wordWrap/>
        <w:overflowPunct/>
        <w:topLinePunct w:val="0"/>
        <w:autoSpaceDE/>
        <w:autoSpaceDN/>
        <w:bidi w:val="0"/>
        <w:adjustRightInd/>
        <w:snapToGrid/>
        <w:spacing w:before="469" w:beforeLines="150" w:line="0" w:lineRule="atLeast"/>
        <w:ind w:left="0" w:leftChars="0" w:right="0" w:rightChars="0" w:firstLine="0" w:firstLineChars="0"/>
        <w:jc w:val="center"/>
        <w:textAlignment w:val="auto"/>
        <w:outlineLvl w:val="9"/>
        <w:rPr>
          <w:rFonts w:hint="eastAsia" w:ascii="黑体" w:hAnsi="黑体" w:eastAsia="黑体"/>
          <w:b/>
          <w:sz w:val="36"/>
          <w:highlight w:val="yellow"/>
          <w:lang w:eastAsia="zh-CN"/>
        </w:rPr>
      </w:pPr>
      <w:r>
        <w:rPr>
          <w:rFonts w:hint="eastAsia" w:ascii="黑体" w:hAnsi="黑体" w:eastAsia="黑体"/>
          <w:b/>
          <w:sz w:val="36"/>
          <w:highlight w:val="yellow"/>
          <w:lang w:eastAsia="zh-CN"/>
        </w:rPr>
        <w:t>田林板桃风电场送出工程</w:t>
      </w:r>
    </w:p>
    <w:p>
      <w:pPr>
        <w:keepNext w:val="0"/>
        <w:keepLines w:val="0"/>
        <w:pageBreakBefore w:val="0"/>
        <w:widowControl w:val="0"/>
        <w:kinsoku/>
        <w:wordWrap/>
        <w:overflowPunct/>
        <w:topLinePunct w:val="0"/>
        <w:autoSpaceDE/>
        <w:autoSpaceDN/>
        <w:bidi w:val="0"/>
        <w:adjustRightInd/>
        <w:snapToGrid/>
        <w:spacing w:before="469" w:beforeLines="150" w:line="0" w:lineRule="atLeast"/>
        <w:ind w:left="0" w:leftChars="0" w:right="0" w:rightChars="0" w:firstLine="0" w:firstLineChars="0"/>
        <w:jc w:val="center"/>
        <w:textAlignment w:val="auto"/>
        <w:outlineLvl w:val="9"/>
        <w:rPr>
          <w:rFonts w:hint="eastAsia" w:ascii="微软雅黑" w:hAnsi="微软雅黑" w:eastAsia="微软雅黑"/>
          <w:b/>
          <w:sz w:val="44"/>
          <w:szCs w:val="21"/>
          <w:highlight w:val="yellow"/>
        </w:rPr>
      </w:pPr>
      <w:r>
        <w:rPr>
          <w:rFonts w:hint="eastAsia" w:ascii="黑体" w:hAnsi="黑体" w:eastAsia="黑体"/>
          <w:b/>
          <w:sz w:val="36"/>
          <w:highlight w:val="yellow"/>
          <w:lang w:eastAsia="zh-CN"/>
        </w:rPr>
        <w:t>（220kV央务升压站扩建1个220kV板桃升压站间隔）</w:t>
      </w:r>
    </w:p>
    <w:p>
      <w:pPr>
        <w:spacing w:before="624" w:beforeLines="200"/>
        <w:ind w:firstLine="1999" w:firstLineChars="448"/>
        <w:jc w:val="left"/>
        <w:rPr>
          <w:rFonts w:hint="eastAsia" w:ascii="黑体" w:eastAsia="黑体"/>
          <w:b/>
          <w:color w:val="000000" w:themeColor="text1"/>
          <w:spacing w:val="20"/>
          <w:w w:val="135"/>
          <w:sz w:val="30"/>
          <w14:textFill>
            <w14:solidFill>
              <w14:schemeClr w14:val="tx1"/>
            </w14:solidFill>
          </w14:textFill>
        </w:rPr>
      </w:pPr>
      <w:bookmarkStart w:id="241" w:name="_GoBack"/>
      <w:bookmarkEnd w:id="241"/>
    </w:p>
    <w:p>
      <w:pPr>
        <w:spacing w:before="624" w:beforeLines="200"/>
        <w:ind w:firstLine="1999" w:firstLineChars="448"/>
        <w:jc w:val="left"/>
        <w:rPr>
          <w:rFonts w:hint="eastAsia" w:ascii="黑体" w:eastAsia="黑体"/>
          <w:b/>
          <w:color w:val="000000" w:themeColor="text1"/>
          <w:spacing w:val="20"/>
          <w:w w:val="135"/>
          <w:sz w:val="30"/>
          <w14:textFill>
            <w14:solidFill>
              <w14:schemeClr w14:val="tx1"/>
            </w14:solidFill>
          </w14:textFill>
        </w:rPr>
      </w:pPr>
    </w:p>
    <w:p>
      <w:pPr>
        <w:spacing w:before="624" w:beforeLines="200"/>
        <w:ind w:firstLine="1999" w:firstLineChars="448"/>
        <w:jc w:val="left"/>
        <w:rPr>
          <w:rFonts w:ascii="黑体" w:eastAsia="黑体"/>
          <w:b/>
          <w:color w:val="000000" w:themeColor="text1"/>
          <w:spacing w:val="20"/>
          <w:w w:val="135"/>
          <w:sz w:val="30"/>
          <w14:textFill>
            <w14:solidFill>
              <w14:schemeClr w14:val="tx1"/>
            </w14:solidFill>
          </w14:textFill>
        </w:rPr>
      </w:pPr>
      <w:r>
        <w:rPr>
          <w:rFonts w:hint="eastAsia" w:ascii="黑体" w:eastAsia="黑体"/>
          <w:b/>
          <w:color w:val="000000" w:themeColor="text1"/>
          <w:spacing w:val="20"/>
          <w:w w:val="135"/>
          <w:sz w:val="30"/>
          <w14:textFill>
            <w14:solidFill>
              <w14:schemeClr w14:val="tx1"/>
            </w14:solidFill>
          </w14:textFill>
        </w:rPr>
        <w:t>中国南方电网有限责任公司</w:t>
      </w:r>
    </w:p>
    <w:p>
      <w:pPr>
        <w:jc w:val="center"/>
        <w:rPr>
          <w:rFonts w:ascii="黑体" w:eastAsia="黑体"/>
          <w:b/>
          <w:color w:val="000000" w:themeColor="text1"/>
          <w:spacing w:val="20"/>
          <w:w w:val="135"/>
          <w:sz w:val="30"/>
          <w14:textFill>
            <w14:solidFill>
              <w14:schemeClr w14:val="tx1"/>
            </w14:solidFill>
          </w14:textFill>
        </w:rPr>
      </w:pPr>
      <w:r>
        <w:rPr>
          <w:rFonts w:hint="eastAsia" w:ascii="黑体" w:eastAsia="黑体"/>
          <w:b/>
          <w:color w:val="000000" w:themeColor="text1"/>
          <w:spacing w:val="20"/>
          <w:w w:val="135"/>
          <w:sz w:val="30"/>
          <w14:textFill>
            <w14:solidFill>
              <w14:schemeClr w14:val="tx1"/>
            </w14:solidFill>
          </w14:textFill>
        </w:rPr>
        <w:t>20</w:t>
      </w:r>
      <w:r>
        <w:rPr>
          <w:rFonts w:hint="eastAsia" w:ascii="黑体" w:eastAsia="黑体"/>
          <w:b/>
          <w:color w:val="000000" w:themeColor="text1"/>
          <w:spacing w:val="20"/>
          <w:w w:val="135"/>
          <w:sz w:val="30"/>
          <w:lang w:val="en-US" w:eastAsia="zh-CN"/>
          <w14:textFill>
            <w14:solidFill>
              <w14:schemeClr w14:val="tx1"/>
            </w14:solidFill>
          </w14:textFill>
        </w:rPr>
        <w:t>22</w:t>
      </w:r>
      <w:r>
        <w:rPr>
          <w:rFonts w:hint="eastAsia" w:ascii="黑体" w:eastAsia="黑体"/>
          <w:b/>
          <w:color w:val="000000" w:themeColor="text1"/>
          <w:spacing w:val="20"/>
          <w:w w:val="135"/>
          <w:sz w:val="30"/>
          <w14:textFill>
            <w14:solidFill>
              <w14:schemeClr w14:val="tx1"/>
            </w14:solidFill>
          </w14:textFill>
        </w:rPr>
        <w:t>年</w:t>
      </w:r>
      <w:r>
        <w:rPr>
          <w:rFonts w:hint="eastAsia" w:ascii="黑体" w:eastAsia="黑体"/>
          <w:b/>
          <w:color w:val="000000" w:themeColor="text1"/>
          <w:spacing w:val="20"/>
          <w:w w:val="135"/>
          <w:sz w:val="30"/>
          <w:lang w:val="en-US" w:eastAsia="zh-CN"/>
          <w14:textFill>
            <w14:solidFill>
              <w14:schemeClr w14:val="tx1"/>
            </w14:solidFill>
          </w14:textFill>
        </w:rPr>
        <w:t>09</w:t>
      </w:r>
      <w:r>
        <w:rPr>
          <w:rFonts w:hint="eastAsia" w:ascii="黑体" w:eastAsia="黑体"/>
          <w:b/>
          <w:color w:val="000000" w:themeColor="text1"/>
          <w:spacing w:val="20"/>
          <w:w w:val="135"/>
          <w:sz w:val="30"/>
          <w14:textFill>
            <w14:solidFill>
              <w14:schemeClr w14:val="tx1"/>
            </w14:solidFill>
          </w14:textFill>
        </w:rPr>
        <w:t>月</w:t>
      </w:r>
    </w:p>
    <w:p>
      <w:pPr>
        <w:jc w:val="center"/>
        <w:rPr>
          <w:rFonts w:ascii="黑体" w:eastAsia="黑体"/>
          <w:b/>
          <w:color w:val="000000" w:themeColor="text1"/>
          <w:spacing w:val="20"/>
          <w:w w:val="135"/>
          <w:sz w:val="30"/>
          <w14:textFill>
            <w14:solidFill>
              <w14:schemeClr w14:val="tx1"/>
            </w14:solidFill>
          </w14:textFill>
        </w:rPr>
      </w:pPr>
    </w:p>
    <w:p>
      <w:pPr>
        <w:spacing w:before="312" w:beforeLines="100" w:line="560" w:lineRule="exact"/>
        <w:ind w:left="850"/>
        <w:jc w:val="center"/>
        <w:rPr>
          <w:rFonts w:ascii="Arial" w:hAnsi="Arial"/>
          <w:bCs/>
          <w:color w:val="000000" w:themeColor="text1"/>
          <w:sz w:val="44"/>
          <w:szCs w:val="44"/>
          <w14:textFill>
            <w14:solidFill>
              <w14:schemeClr w14:val="tx1"/>
            </w14:solidFill>
          </w14:textFill>
        </w:rPr>
      </w:pPr>
      <w:r>
        <w:rPr>
          <w:rFonts w:hint="eastAsia" w:ascii="方正小标宋_GBK" w:hAnsi="方正小标宋_GBK" w:eastAsia="方正小标宋_GBK" w:cs="方正小标宋_GBK"/>
          <w:bCs/>
          <w:color w:val="000000" w:themeColor="text1"/>
          <w:sz w:val="44"/>
          <w:szCs w:val="44"/>
          <w14:textFill>
            <w14:solidFill>
              <w14:schemeClr w14:val="tx1"/>
            </w14:solidFill>
          </w14:textFill>
        </w:rPr>
        <w:t>知识产权声明</w:t>
      </w:r>
    </w:p>
    <w:p>
      <w:pPr>
        <w:spacing w:line="560" w:lineRule="exact"/>
        <w:ind w:left="851"/>
        <w:jc w:val="center"/>
        <w:rPr>
          <w:rFonts w:ascii="Arial" w:hAnsi="Arial"/>
          <w:b/>
          <w:color w:val="000000" w:themeColor="text1"/>
          <w:sz w:val="32"/>
          <w:szCs w:val="32"/>
          <w14:textFill>
            <w14:solidFill>
              <w14:schemeClr w14:val="tx1"/>
            </w14:solidFill>
          </w14:textFill>
        </w:rPr>
      </w:pPr>
    </w:p>
    <w:p>
      <w:pPr>
        <w:spacing w:line="560" w:lineRule="exact"/>
        <w:ind w:left="850" w:firstLine="640" w:firstLineChars="200"/>
        <w:rPr>
          <w:rFonts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南方电网公司拥有本作品的知识产权，未经南方电网公司书面许可，任何单位和个人不得擅自使用（包括但不限于复制、发行、转载、通过信息网络传播等），否则，南方电网公司将依法追究法律责任。</w:t>
      </w:r>
    </w:p>
    <w:p>
      <w:pPr>
        <w:spacing w:line="560" w:lineRule="exact"/>
        <w:ind w:left="850"/>
        <w:rPr>
          <w:rFonts w:ascii="Arial" w:hAnsi="Arial"/>
          <w:color w:val="000000" w:themeColor="text1"/>
          <w:sz w:val="28"/>
          <w:szCs w:val="28"/>
          <w14:textFill>
            <w14:solidFill>
              <w14:schemeClr w14:val="tx1"/>
            </w14:solidFill>
          </w14:textFill>
        </w:rPr>
      </w:pPr>
    </w:p>
    <w:p>
      <w:pPr>
        <w:spacing w:line="560" w:lineRule="exact"/>
        <w:ind w:left="851" w:firstLine="560"/>
        <w:rPr>
          <w:rFonts w:ascii="Arial" w:hAnsi="Arial"/>
          <w:color w:val="000000" w:themeColor="text1"/>
          <w:sz w:val="28"/>
          <w:szCs w:val="28"/>
          <w14:textFill>
            <w14:solidFill>
              <w14:schemeClr w14:val="tx1"/>
            </w14:solidFill>
          </w14:textFill>
        </w:rPr>
      </w:pPr>
    </w:p>
    <w:p>
      <w:pPr>
        <w:spacing w:line="560" w:lineRule="exact"/>
        <w:ind w:left="851"/>
        <w:jc w:val="center"/>
        <w:rPr>
          <w:rFonts w:ascii="Trebuchet MS" w:hAnsi="Trebuchet MS" w:cs="Trebuchet MS"/>
          <w:color w:val="000000" w:themeColor="text1"/>
          <w:sz w:val="44"/>
          <w:szCs w:val="44"/>
          <w14:textFill>
            <w14:solidFill>
              <w14:schemeClr w14:val="tx1"/>
            </w14:solidFill>
          </w14:textFill>
        </w:rPr>
      </w:pPr>
      <w:r>
        <w:rPr>
          <w:rFonts w:ascii="Trebuchet MS" w:hAnsi="Trebuchet MS" w:cs="Trebuchet MS"/>
          <w:color w:val="000000" w:themeColor="text1"/>
          <w:sz w:val="44"/>
          <w:szCs w:val="44"/>
          <w14:textFill>
            <w14:solidFill>
              <w14:schemeClr w14:val="tx1"/>
            </w14:solidFill>
          </w14:textFill>
        </w:rPr>
        <w:t>Intellectual Property Rights Statement</w:t>
      </w:r>
    </w:p>
    <w:p>
      <w:pPr>
        <w:spacing w:line="560" w:lineRule="exact"/>
        <w:ind w:left="851" w:firstLine="640"/>
        <w:rPr>
          <w:rFonts w:ascii="Arial" w:hAnsi="Arial"/>
          <w:color w:val="000000" w:themeColor="text1"/>
          <w:sz w:val="32"/>
          <w:szCs w:val="32"/>
          <w14:textFill>
            <w14:solidFill>
              <w14:schemeClr w14:val="tx1"/>
            </w14:solidFill>
          </w14:textFill>
        </w:rPr>
      </w:pPr>
    </w:p>
    <w:p>
      <w:pPr>
        <w:spacing w:line="560" w:lineRule="exact"/>
        <w:ind w:left="851" w:firstLine="640"/>
        <w:rPr>
          <w:color w:val="000000" w:themeColor="text1"/>
          <w:sz w:val="32"/>
          <w:szCs w:val="32"/>
          <w14:textFill>
            <w14:solidFill>
              <w14:schemeClr w14:val="tx1"/>
            </w14:solidFill>
          </w14:textFill>
        </w:rPr>
      </w:pPr>
      <w:r>
        <w:rPr>
          <w:color w:val="000000" w:themeColor="text1"/>
          <w:sz w:val="32"/>
          <w:szCs w:val="32"/>
          <w14:textFill>
            <w14:solidFill>
              <w14:schemeClr w14:val="tx1"/>
            </w14:solidFill>
          </w14:textFill>
        </w:rPr>
        <w:t>China Southern Power Grid is the owner of the intellectual property rights of this work. Any person or organization shall not utilize (including but not limited to reproduce, distribute, transmit or disseminate through the internet) without the prior written permission of the owner and will be held legally responsible otherwise by China Southern Power Grid.</w:t>
      </w:r>
    </w:p>
    <w:p>
      <w:pPr>
        <w:widowControl/>
        <w:jc w:val="center"/>
        <w:rPr>
          <w:rFonts w:eastAsia="黑体"/>
          <w:color w:val="000000" w:themeColor="text1"/>
          <w:sz w:val="32"/>
          <w:szCs w:val="28"/>
          <w14:textFill>
            <w14:solidFill>
              <w14:schemeClr w14:val="tx1"/>
            </w14:solidFill>
          </w14:textFill>
        </w:rPr>
      </w:pPr>
      <w:r>
        <w:rPr>
          <w:rFonts w:hint="eastAsia" w:eastAsia="黑体"/>
          <w:color w:val="000000" w:themeColor="text1"/>
          <w:sz w:val="32"/>
          <w:szCs w:val="28"/>
          <w14:textFill>
            <w14:solidFill>
              <w14:schemeClr w14:val="tx1"/>
            </w14:solidFill>
          </w14:textFill>
        </w:rPr>
        <w:br w:type="page"/>
      </w:r>
      <w:r>
        <w:rPr>
          <w:rFonts w:hint="eastAsia" w:eastAsia="黑体"/>
          <w:color w:val="000000" w:themeColor="text1"/>
          <w:sz w:val="32"/>
          <w:szCs w:val="28"/>
          <w14:textFill>
            <w14:solidFill>
              <w14:schemeClr w14:val="tx1"/>
            </w14:solidFill>
          </w14:textFill>
        </w:rPr>
        <w:t>本技术规范书对应的专用部分目录</w:t>
      </w:r>
    </w:p>
    <w:tbl>
      <w:tblPr>
        <w:tblStyle w:val="83"/>
        <w:tblW w:w="9570"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242"/>
        <w:gridCol w:w="5530"/>
        <w:gridCol w:w="279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Ansi="宋体"/>
                <w:color w:val="000000" w:themeColor="text1"/>
                <w:sz w:val="24"/>
                <w14:textFill>
                  <w14:solidFill>
                    <w14:schemeClr w14:val="tx1"/>
                  </w14:solidFill>
                </w14:textFill>
              </w:rPr>
              <w:t>序号</w:t>
            </w:r>
          </w:p>
        </w:tc>
        <w:tc>
          <w:tcPr>
            <w:tcW w:w="5530" w:type="dxa"/>
          </w:tcPr>
          <w:p>
            <w:pPr>
              <w:spacing w:line="360" w:lineRule="auto"/>
              <w:jc w:val="center"/>
              <w:rPr>
                <w:color w:val="000000" w:themeColor="text1"/>
                <w:sz w:val="24"/>
                <w14:textFill>
                  <w14:solidFill>
                    <w14:schemeClr w14:val="tx1"/>
                  </w14:solidFill>
                </w14:textFill>
              </w:rPr>
            </w:pPr>
            <w:r>
              <w:rPr>
                <w:rFonts w:hAnsi="宋体"/>
                <w:color w:val="000000" w:themeColor="text1"/>
                <w:sz w:val="24"/>
                <w14:textFill>
                  <w14:solidFill>
                    <w14:schemeClr w14:val="tx1"/>
                  </w14:solidFill>
                </w14:textFill>
              </w:rPr>
              <w:t>名称</w:t>
            </w:r>
          </w:p>
        </w:tc>
        <w:tc>
          <w:tcPr>
            <w:tcW w:w="2798" w:type="dxa"/>
          </w:tcPr>
          <w:p>
            <w:pPr>
              <w:spacing w:line="360" w:lineRule="auto"/>
              <w:jc w:val="center"/>
              <w:rPr>
                <w:color w:val="000000" w:themeColor="text1"/>
                <w:sz w:val="24"/>
                <w14:textFill>
                  <w14:solidFill>
                    <w14:schemeClr w14:val="tx1"/>
                  </w14:solidFill>
                </w14:textFill>
              </w:rPr>
            </w:pPr>
            <w:r>
              <w:rPr>
                <w:rFonts w:hint="eastAsia" w:hAnsi="宋体"/>
                <w:color w:val="000000" w:themeColor="text1"/>
                <w:sz w:val="24"/>
                <w14:textFill>
                  <w14:solidFill>
                    <w14:schemeClr w14:val="tx1"/>
                  </w14:solidFill>
                </w14:textFill>
              </w:rPr>
              <w:t>品类优化清单对应型号</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w:t>
            </w:r>
          </w:p>
        </w:tc>
        <w:tc>
          <w:tcPr>
            <w:tcW w:w="5530" w:type="dxa"/>
          </w:tcPr>
          <w:p>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500kV电容式电压互感器技术规范书（专用部分）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rFonts w:hint="eastAsia"/>
                <w:color w:val="000000" w:themeColor="text1"/>
                <w:kern w:val="0"/>
                <w:sz w:val="18"/>
                <w:szCs w:val="18"/>
                <w14:textFill>
                  <w14:solidFill>
                    <w14:schemeClr w14:val="tx1"/>
                  </w14:solidFill>
                </w14:textFill>
              </w:rPr>
              <w:t>TYD□500/√3-0.005□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w:t>
            </w:r>
          </w:p>
        </w:tc>
        <w:tc>
          <w:tcPr>
            <w:tcW w:w="5530" w:type="dxa"/>
          </w:tcPr>
          <w:p>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500kV电容式电压互感器技术规范书（专用部分）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rFonts w:hint="eastAsia"/>
                <w:color w:val="000000" w:themeColor="text1"/>
                <w:kern w:val="0"/>
                <w:sz w:val="18"/>
                <w:szCs w:val="18"/>
                <w14:textFill>
                  <w14:solidFill>
                    <w14:schemeClr w14:val="tx1"/>
                  </w14:solidFill>
                </w14:textFill>
              </w:rPr>
              <w:t>TYD□500/√3-0.005□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3</w:t>
            </w:r>
          </w:p>
        </w:tc>
        <w:tc>
          <w:tcPr>
            <w:tcW w:w="5530" w:type="dxa"/>
          </w:tcPr>
          <w:p>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220kV电容式电压互感器技术规范书（专用部分）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color w:val="000000" w:themeColor="text1"/>
                <w:kern w:val="0"/>
                <w:sz w:val="18"/>
                <w:szCs w:val="18"/>
                <w14:textFill>
                  <w14:solidFill>
                    <w14:schemeClr w14:val="tx1"/>
                  </w14:solidFill>
                </w14:textFill>
              </w:rPr>
              <w:t>TYD</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220/</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3-0.005</w:t>
            </w:r>
            <w:r>
              <w:rPr>
                <w:rFonts w:hint="eastAsia"/>
                <w:color w:val="000000" w:themeColor="text1"/>
                <w:kern w:val="0"/>
                <w:sz w:val="18"/>
                <w:szCs w:val="18"/>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4</w:t>
            </w:r>
          </w:p>
        </w:tc>
        <w:tc>
          <w:tcPr>
            <w:tcW w:w="5530" w:type="dxa"/>
          </w:tcPr>
          <w:p>
            <w:pPr>
              <w:spacing w:line="360" w:lineRule="auto"/>
              <w:jc w:val="left"/>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220kV电容式电压互感器技术规范书（专用部分）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color w:val="000000" w:themeColor="text1"/>
                <w:kern w:val="0"/>
                <w:sz w:val="18"/>
                <w:szCs w:val="18"/>
                <w14:textFill>
                  <w14:solidFill>
                    <w14:schemeClr w14:val="tx1"/>
                  </w14:solidFill>
                </w14:textFill>
              </w:rPr>
              <w:t>TYD</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220/</w:t>
            </w:r>
            <w:r>
              <w:rPr>
                <w:rFonts w:hint="eastAsia"/>
                <w:color w:val="000000" w:themeColor="text1"/>
                <w:kern w:val="0"/>
                <w:sz w:val="18"/>
                <w:szCs w:val="18"/>
                <w14:textFill>
                  <w14:solidFill>
                    <w14:schemeClr w14:val="tx1"/>
                  </w14:solidFill>
                </w14:textFill>
              </w:rPr>
              <w:t>√</w:t>
            </w:r>
            <w:r>
              <w:rPr>
                <w:color w:val="000000" w:themeColor="text1"/>
                <w:kern w:val="0"/>
                <w:sz w:val="18"/>
                <w:szCs w:val="18"/>
                <w14:textFill>
                  <w14:solidFill>
                    <w14:schemeClr w14:val="tx1"/>
                  </w14:solidFill>
                </w14:textFill>
              </w:rPr>
              <w:t>3-0.01</w:t>
            </w:r>
            <w:r>
              <w:rPr>
                <w:rFonts w:hint="eastAsia"/>
                <w:color w:val="000000" w:themeColor="text1"/>
                <w:kern w:val="0"/>
                <w:sz w:val="18"/>
                <w:szCs w:val="18"/>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5</w:t>
            </w:r>
          </w:p>
        </w:tc>
        <w:tc>
          <w:tcPr>
            <w:tcW w:w="5530"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110kV电容式电压互感器技术规范书（专用部分）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rFonts w:hint="eastAsia"/>
                <w:color w:val="000000" w:themeColor="text1"/>
                <w:kern w:val="0"/>
                <w:sz w:val="18"/>
                <w:szCs w:val="18"/>
                <w14:textFill>
                  <w14:solidFill>
                    <w14:schemeClr w14:val="tx1"/>
                  </w14:solidFill>
                </w14:textFill>
              </w:rPr>
              <w:t>TYD□110/√3-0.01□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242"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6</w:t>
            </w:r>
          </w:p>
        </w:tc>
        <w:tc>
          <w:tcPr>
            <w:tcW w:w="5530" w:type="dxa"/>
          </w:tcPr>
          <w:p>
            <w:pPr>
              <w:spacing w:line="360" w:lineRule="auto"/>
              <w:jc w:val="center"/>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110kV电容式电压互感器技术规范书（专用部分）</w:t>
            </w:r>
          </w:p>
        </w:tc>
        <w:tc>
          <w:tcPr>
            <w:tcW w:w="2798" w:type="dxa"/>
            <w:vAlign w:val="center"/>
          </w:tcPr>
          <w:p>
            <w:pPr>
              <w:spacing w:line="360" w:lineRule="auto"/>
              <w:jc w:val="center"/>
              <w:rPr>
                <w:color w:val="000000" w:themeColor="text1"/>
                <w:sz w:val="24"/>
                <w14:textFill>
                  <w14:solidFill>
                    <w14:schemeClr w14:val="tx1"/>
                  </w14:solidFill>
                </w14:textFill>
              </w:rPr>
            </w:pPr>
            <w:r>
              <w:rPr>
                <w:rFonts w:hint="eastAsia"/>
                <w:color w:val="000000" w:themeColor="text1"/>
                <w:kern w:val="0"/>
                <w:sz w:val="18"/>
                <w:szCs w:val="18"/>
                <w14:textFill>
                  <w14:solidFill>
                    <w14:schemeClr w14:val="tx1"/>
                  </w14:solidFill>
                </w14:textFill>
              </w:rPr>
              <w:t>TYD□110/√3-0.02□</w:t>
            </w:r>
          </w:p>
        </w:tc>
      </w:tr>
    </w:tbl>
    <w:p>
      <w:pPr>
        <w:spacing w:line="360" w:lineRule="auto"/>
        <w:jc w:val="center"/>
        <w:rPr>
          <w:rFonts w:ascii="仿宋_GB2312" w:eastAsia="仿宋_GB2312"/>
          <w:color w:val="000000" w:themeColor="text1"/>
          <w14:textFill>
            <w14:solidFill>
              <w14:schemeClr w14:val="tx1"/>
            </w14:solidFill>
          </w14:textFill>
        </w:rPr>
      </w:pPr>
    </w:p>
    <w:p>
      <w:pPr>
        <w:spacing w:line="360" w:lineRule="auto"/>
        <w:jc w:val="center"/>
        <w:rPr>
          <w:rFonts w:ascii="黑体" w:eastAsia="黑体"/>
          <w:color w:val="000000" w:themeColor="text1"/>
          <w:sz w:val="36"/>
          <w:szCs w:val="36"/>
          <w14:textFill>
            <w14:solidFill>
              <w14:schemeClr w14:val="tx1"/>
            </w14:solidFill>
          </w14:textFill>
        </w:rPr>
      </w:pPr>
      <w:r>
        <w:rPr>
          <w:rFonts w:ascii="仿宋_GB2312" w:eastAsia="仿宋_GB2312"/>
          <w:color w:val="000000" w:themeColor="text1"/>
          <w14:textFill>
            <w14:solidFill>
              <w14:schemeClr w14:val="tx1"/>
            </w14:solidFill>
          </w14:textFill>
        </w:rPr>
        <w:br w:type="page"/>
      </w:r>
    </w:p>
    <w:p>
      <w:pPr>
        <w:pStyle w:val="144"/>
        <w:ind w:firstLine="0" w:firstLineChars="0"/>
        <w:jc w:val="center"/>
        <w:rPr>
          <w:color w:val="000000" w:themeColor="text1"/>
          <w14:textFill>
            <w14:solidFill>
              <w14:schemeClr w14:val="tx1"/>
            </w14:solidFill>
          </w14:textFill>
        </w:rPr>
      </w:pPr>
      <w:r>
        <w:rPr>
          <w:rFonts w:hint="eastAsia" w:ascii="黑体" w:eastAsia="黑体"/>
          <w:color w:val="000000" w:themeColor="text1"/>
          <w:sz w:val="36"/>
          <w:szCs w:val="36"/>
          <w14:textFill>
            <w14:solidFill>
              <w14:schemeClr w14:val="tx1"/>
            </w14:solidFill>
          </w14:textFill>
        </w:rPr>
        <w:t>目  录</w:t>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b w:val="0"/>
          <w:color w:val="000000" w:themeColor="text1"/>
          <w14:textFill>
            <w14:solidFill>
              <w14:schemeClr w14:val="tx1"/>
            </w14:solidFill>
          </w14:textFill>
        </w:rPr>
        <w:fldChar w:fldCharType="begin"/>
      </w:r>
      <w:r>
        <w:rPr>
          <w:b w:val="0"/>
          <w:color w:val="000000" w:themeColor="text1"/>
          <w14:textFill>
            <w14:solidFill>
              <w14:schemeClr w14:val="tx1"/>
            </w14:solidFill>
          </w14:textFill>
        </w:rPr>
        <w:instrText xml:space="preserve"> TOC \o "1-3" \h \z \u </w:instrText>
      </w:r>
      <w:r>
        <w:rPr>
          <w:b w:val="0"/>
          <w:color w:val="000000" w:themeColor="text1"/>
          <w14:textFill>
            <w14:solidFill>
              <w14:schemeClr w14:val="tx1"/>
            </w14:solidFill>
          </w14:textFill>
        </w:rPr>
        <w:fldChar w:fldCharType="separate"/>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"_Toc22389993"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1 </w:t>
      </w:r>
      <w:r>
        <w:rPr>
          <w:rStyle w:val="95"/>
          <w:rFonts w:hint="eastAsia" w:ascii="黑体" w:hAnsi="黑体" w:eastAsia="黑体"/>
          <w:b/>
          <w:color w:val="000000" w:themeColor="text1"/>
          <w14:textFill>
            <w14:solidFill>
              <w14:schemeClr w14:val="tx1"/>
            </w14:solidFill>
          </w14:textFill>
        </w:rPr>
        <w:t>总则</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"_Toc22389994"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2 </w:t>
      </w:r>
      <w:r>
        <w:rPr>
          <w:rStyle w:val="95"/>
          <w:rFonts w:hint="eastAsia" w:ascii="黑体" w:hAnsi="黑体" w:eastAsia="黑体"/>
          <w:b/>
          <w:color w:val="000000" w:themeColor="text1"/>
          <w14:textFill>
            <w14:solidFill>
              <w14:schemeClr w14:val="tx1"/>
            </w14:solidFill>
          </w14:textFill>
        </w:rPr>
        <w:t>工作范围</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"_Toc22389995"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 xml:space="preserve">2.1 </w:t>
      </w:r>
      <w:r>
        <w:rPr>
          <w:rStyle w:val="95"/>
          <w:rFonts w:hint="eastAsia" w:ascii="黑体" w:hAnsi="黑体"/>
          <w:color w:val="000000" w:themeColor="text1"/>
          <w14:textFill>
            <w14:solidFill>
              <w14:schemeClr w14:val="tx1"/>
            </w14:solidFill>
          </w14:textFill>
        </w:rPr>
        <w:t>工程概况</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"_Toc22389996"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 xml:space="preserve">2.2 </w:t>
      </w:r>
      <w:r>
        <w:rPr>
          <w:rStyle w:val="95"/>
          <w:rFonts w:hint="eastAsia" w:ascii="黑体" w:hAnsi="黑体"/>
          <w:color w:val="000000" w:themeColor="text1"/>
          <w14:textFill>
            <w14:solidFill>
              <w14:schemeClr w14:val="tx1"/>
            </w14:solidFill>
          </w14:textFill>
        </w:rPr>
        <w:t>范围和界限</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"_Toc22389997"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 xml:space="preserve">2.3 </w:t>
      </w:r>
      <w:r>
        <w:rPr>
          <w:rStyle w:val="95"/>
          <w:rFonts w:hint="eastAsia" w:ascii="黑体" w:hAnsi="黑体"/>
          <w:color w:val="000000" w:themeColor="text1"/>
          <w14:textFill>
            <w14:solidFill>
              <w14:schemeClr w14:val="tx1"/>
            </w14:solidFill>
          </w14:textFill>
        </w:rPr>
        <w:t>服务范围</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"_Toc22389998"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3 </w:t>
      </w:r>
      <w:r>
        <w:rPr>
          <w:rStyle w:val="95"/>
          <w:rFonts w:hint="eastAsia" w:ascii="黑体" w:hAnsi="黑体" w:eastAsia="黑体"/>
          <w:b/>
          <w:color w:val="000000" w:themeColor="text1"/>
          <w14:textFill>
            <w14:solidFill>
              <w14:schemeClr w14:val="tx1"/>
            </w14:solidFill>
          </w14:textFill>
        </w:rPr>
        <w:t>应遵循的主要标准</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"_Toc22389999"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4</w:t>
      </w:r>
      <w:r>
        <w:rPr>
          <w:rStyle w:val="95"/>
          <w:rFonts w:hint="eastAsia" w:ascii="黑体" w:hAnsi="黑体" w:eastAsia="黑体"/>
          <w:b/>
          <w:color w:val="000000" w:themeColor="text1"/>
          <w14:textFill>
            <w14:solidFill>
              <w14:schemeClr w14:val="tx1"/>
            </w14:solidFill>
          </w14:textFill>
        </w:rPr>
        <w:t>使用条件</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_Toc22389999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"_Toc22390000"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4.1</w:t>
      </w:r>
      <w:r>
        <w:rPr>
          <w:rStyle w:val="95"/>
          <w:rFonts w:hint="eastAsia" w:ascii="黑体" w:hAnsi="黑体"/>
          <w:color w:val="000000" w:themeColor="text1"/>
          <w14:textFill>
            <w14:solidFill>
              <w14:schemeClr w14:val="tx1"/>
            </w14:solidFill>
          </w14:textFill>
        </w:rPr>
        <w:t>正常使用条件</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"_Toc22390001"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4.2</w:t>
      </w:r>
      <w:r>
        <w:rPr>
          <w:rStyle w:val="95"/>
          <w:rFonts w:hint="eastAsia" w:ascii="黑体" w:hAnsi="黑体"/>
          <w:color w:val="000000" w:themeColor="text1"/>
          <w14:textFill>
            <w14:solidFill>
              <w14:schemeClr w14:val="tx1"/>
            </w14:solidFill>
          </w14:textFill>
        </w:rPr>
        <w:t>特殊</w:t>
      </w:r>
      <w:r>
        <w:rPr>
          <w:rStyle w:val="95"/>
          <w:rFonts w:hint="eastAsia"/>
          <w:color w:val="000000" w:themeColor="text1"/>
          <w14:textFill>
            <w14:solidFill>
              <w14:schemeClr w14:val="tx1"/>
            </w14:solidFill>
          </w14:textFill>
        </w:rPr>
        <w:t>使用条件</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"_Toc22390002"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5 </w:t>
      </w:r>
      <w:r>
        <w:rPr>
          <w:rStyle w:val="95"/>
          <w:rFonts w:hint="eastAsia" w:ascii="黑体" w:hAnsi="黑体" w:eastAsia="黑体"/>
          <w:b/>
          <w:color w:val="000000" w:themeColor="text1"/>
          <w14:textFill>
            <w14:solidFill>
              <w14:schemeClr w14:val="tx1"/>
            </w14:solidFill>
          </w14:textFill>
        </w:rPr>
        <w:t>技术要求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"_Toc22390003"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5.1</w:t>
      </w:r>
      <w:r>
        <w:rPr>
          <w:rStyle w:val="95"/>
          <w:rFonts w:hint="eastAsia" w:ascii="黑体" w:hAnsi="黑体"/>
          <w:color w:val="000000" w:themeColor="text1"/>
          <w14:textFill>
            <w14:solidFill>
              <w14:schemeClr w14:val="tx1"/>
            </w14:solidFill>
          </w14:textFill>
        </w:rPr>
        <w:t>技术参数</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"_Toc22390004"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5.2</w:t>
      </w:r>
      <w:r>
        <w:rPr>
          <w:rStyle w:val="95"/>
          <w:rFonts w:hint="eastAsia" w:ascii="黑体" w:hAnsi="黑体"/>
          <w:color w:val="000000" w:themeColor="text1"/>
          <w14:textFill>
            <w14:solidFill>
              <w14:schemeClr w14:val="tx1"/>
            </w14:solidFill>
          </w14:textFill>
        </w:rPr>
        <w:t>设计结构与原材料要求</w:t>
      </w:r>
      <w:r>
        <w:rPr>
          <w:color w:val="000000" w:themeColor="text1"/>
          <w14:textFill>
            <w14:solidFill>
              <w14:schemeClr w14:val="tx1"/>
            </w14:solidFill>
          </w14:textFill>
        </w:rPr>
        <w:tab/>
      </w: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"_Toc22390005" </w:instrText>
      </w:r>
      <w:r>
        <w:rPr>
          <w:color w:val="000000" w:themeColor="text1"/>
          <w14:textFill>
            <w14:solidFill>
              <w14:schemeClr w14:val="tx1"/>
            </w14:solidFill>
          </w14:textFill>
        </w:rPr>
        <w:fldChar w:fldCharType="separate"/>
      </w:r>
      <w:r>
        <w:rPr>
          <w:rStyle w:val="95"/>
          <w:color w:val="000000" w:themeColor="text1"/>
          <w14:textFill>
            <w14:solidFill>
              <w14:schemeClr w14:val="tx1"/>
            </w14:solidFill>
          </w14:textFill>
        </w:rPr>
        <w:t xml:space="preserve">5.3 </w:t>
      </w:r>
      <w:r>
        <w:rPr>
          <w:rStyle w:val="95"/>
          <w:rFonts w:hint="eastAsia"/>
          <w:color w:val="000000" w:themeColor="text1"/>
          <w14:textFill>
            <w14:solidFill>
              <w14:schemeClr w14:val="tx1"/>
            </w14:solidFill>
          </w14:textFill>
        </w:rPr>
        <w:t>制造工艺要求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"_Toc22390006" </w:instrText>
      </w:r>
      <w:r>
        <w:rPr>
          <w:color w:val="000000" w:themeColor="text1"/>
          <w14:textFill>
            <w14:solidFill>
              <w14:schemeClr w14:val="tx1"/>
            </w14:solidFill>
          </w14:textFill>
        </w:rPr>
        <w:fldChar w:fldCharType="separate"/>
      </w:r>
      <w:r>
        <w:rPr>
          <w:rStyle w:val="95"/>
          <w:color w:val="000000" w:themeColor="text1"/>
          <w14:textFill>
            <w14:solidFill>
              <w14:schemeClr w14:val="tx1"/>
            </w14:solidFill>
          </w14:textFill>
        </w:rPr>
        <w:t>5.4</w:t>
      </w:r>
      <w:r>
        <w:rPr>
          <w:rStyle w:val="95"/>
          <w:rFonts w:hint="eastAsia"/>
          <w:color w:val="000000" w:themeColor="text1"/>
          <w14:textFill>
            <w14:solidFill>
              <w14:schemeClr w14:val="tx1"/>
            </w14:solidFill>
          </w14:textFill>
        </w:rPr>
        <w:t>铭牌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"_Toc22390007" </w:instrText>
      </w:r>
      <w:r>
        <w:rPr>
          <w:color w:val="000000" w:themeColor="text1"/>
          <w14:textFill>
            <w14:solidFill>
              <w14:schemeClr w14:val="tx1"/>
            </w14:solidFill>
          </w14:textFill>
        </w:rPr>
        <w:fldChar w:fldCharType="separate"/>
      </w:r>
      <w:r>
        <w:rPr>
          <w:rStyle w:val="95"/>
          <w:color w:val="000000" w:themeColor="text1"/>
          <w14:textFill>
            <w14:solidFill>
              <w14:schemeClr w14:val="tx1"/>
            </w14:solidFill>
          </w14:textFill>
        </w:rPr>
        <w:t xml:space="preserve">5.5 </w:t>
      </w:r>
      <w:r>
        <w:rPr>
          <w:rStyle w:val="95"/>
          <w:rFonts w:hint="eastAsia"/>
          <w:color w:val="000000" w:themeColor="text1"/>
          <w14:textFill>
            <w14:solidFill>
              <w14:schemeClr w14:val="tx1"/>
            </w14:solidFill>
          </w14:textFill>
        </w:rPr>
        <w:t>质量追溯</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"_Toc22390008" </w:instrText>
      </w:r>
      <w:r>
        <w:rPr>
          <w:color w:val="000000" w:themeColor="text1"/>
          <w14:textFill>
            <w14:solidFill>
              <w14:schemeClr w14:val="tx1"/>
            </w14:solidFill>
          </w14:textFill>
        </w:rPr>
        <w:fldChar w:fldCharType="separate"/>
      </w:r>
      <w:r>
        <w:rPr>
          <w:rStyle w:val="95"/>
          <w:color w:val="000000" w:themeColor="text1"/>
          <w14:textFill>
            <w14:solidFill>
              <w14:schemeClr w14:val="tx1"/>
            </w14:solidFill>
          </w14:textFill>
        </w:rPr>
        <w:t xml:space="preserve">5.6 </w:t>
      </w:r>
      <w:r>
        <w:rPr>
          <w:rStyle w:val="95"/>
          <w:rFonts w:hint="eastAsia"/>
          <w:color w:val="000000" w:themeColor="text1"/>
          <w14:textFill>
            <w14:solidFill>
              <w14:schemeClr w14:val="tx1"/>
            </w14:solidFill>
          </w14:textFill>
        </w:rPr>
        <w:t>关于对检修的要求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"_Toc22390009" </w:instrText>
      </w:r>
      <w:r>
        <w:rPr>
          <w:color w:val="000000" w:themeColor="text1"/>
          <w14:textFill>
            <w14:solidFill>
              <w14:schemeClr w14:val="tx1"/>
            </w14:solidFill>
          </w14:textFill>
        </w:rPr>
        <w:fldChar w:fldCharType="separate"/>
      </w:r>
      <w:r>
        <w:rPr>
          <w:rStyle w:val="95"/>
          <w:rFonts w:ascii="黑体" w:hAnsi="黑体"/>
          <w:b/>
          <w:color w:val="000000" w:themeColor="text1"/>
          <w14:textFill>
            <w14:solidFill>
              <w14:schemeClr w14:val="tx1"/>
            </w14:solidFill>
          </w14:textFill>
        </w:rPr>
        <w:t xml:space="preserve">6 </w:t>
      </w:r>
      <w:r>
        <w:rPr>
          <w:rStyle w:val="95"/>
          <w:rFonts w:hint="eastAsia" w:ascii="黑体" w:hAnsi="黑体" w:eastAsia="黑体"/>
          <w:b/>
          <w:color w:val="000000" w:themeColor="text1"/>
          <w14:textFill>
            <w14:solidFill>
              <w14:schemeClr w14:val="tx1"/>
            </w14:solidFill>
          </w14:textFill>
        </w:rPr>
        <w:t>试验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_Toc22390009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"_Toc22390010"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6.1</w:t>
      </w:r>
      <w:r>
        <w:rPr>
          <w:rStyle w:val="95"/>
          <w:rFonts w:hint="eastAsia" w:ascii="黑体" w:hAnsi="黑体"/>
          <w:color w:val="000000" w:themeColor="text1"/>
          <w14:textFill>
            <w14:solidFill>
              <w14:schemeClr w14:val="tx1"/>
            </w14:solidFill>
          </w14:textFill>
        </w:rPr>
        <w:t>试验分类</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15</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"_Toc22390011"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6.2</w:t>
      </w:r>
      <w:r>
        <w:rPr>
          <w:rStyle w:val="95"/>
          <w:rFonts w:hint="eastAsia" w:ascii="黑体" w:hAnsi="黑体"/>
          <w:color w:val="000000" w:themeColor="text1"/>
          <w14:textFill>
            <w14:solidFill>
              <w14:schemeClr w14:val="tx1"/>
            </w14:solidFill>
          </w14:textFill>
        </w:rPr>
        <w:t>型式试验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"_Toc22390012"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6.4</w:t>
      </w:r>
      <w:r>
        <w:rPr>
          <w:rStyle w:val="95"/>
          <w:rFonts w:hint="eastAsia" w:ascii="黑体" w:hAnsi="黑体"/>
          <w:color w:val="000000" w:themeColor="text1"/>
          <w14:textFill>
            <w14:solidFill>
              <w14:schemeClr w14:val="tx1"/>
            </w14:solidFill>
          </w14:textFill>
        </w:rPr>
        <w:t>例行试验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16</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"_Toc22390013"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6.5</w:t>
      </w:r>
      <w:r>
        <w:rPr>
          <w:rStyle w:val="95"/>
          <w:rFonts w:hint="eastAsia" w:ascii="黑体" w:hAnsi="黑体"/>
          <w:color w:val="000000" w:themeColor="text1"/>
          <w14:textFill>
            <w14:solidFill>
              <w14:schemeClr w14:val="tx1"/>
            </w14:solidFill>
          </w14:textFill>
        </w:rPr>
        <w:t>交接试验</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"_Toc22390014"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7 </w:t>
      </w:r>
      <w:r>
        <w:rPr>
          <w:rStyle w:val="95"/>
          <w:rFonts w:hint="eastAsia" w:ascii="黑体" w:hAnsi="黑体" w:eastAsia="黑体"/>
          <w:b/>
          <w:color w:val="000000" w:themeColor="text1"/>
          <w14:textFill>
            <w14:solidFill>
              <w14:schemeClr w14:val="tx1"/>
            </w14:solidFill>
          </w14:textFill>
        </w:rPr>
        <w:t>产品对环境的影响</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"_Toc22390015"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8 </w:t>
      </w:r>
      <w:r>
        <w:rPr>
          <w:rStyle w:val="95"/>
          <w:rFonts w:hint="eastAsia" w:ascii="黑体" w:hAnsi="黑体" w:eastAsia="黑体"/>
          <w:b/>
          <w:color w:val="000000" w:themeColor="text1"/>
          <w14:textFill>
            <w14:solidFill>
              <w14:schemeClr w14:val="tx1"/>
            </w14:solidFill>
          </w14:textFill>
        </w:rPr>
        <w:t>技术文件要求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"_Toc22390016"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9 </w:t>
      </w:r>
      <w:r>
        <w:rPr>
          <w:rStyle w:val="95"/>
          <w:rFonts w:hint="eastAsia" w:ascii="黑体" w:hAnsi="黑体" w:eastAsia="黑体"/>
          <w:b/>
          <w:color w:val="000000" w:themeColor="text1"/>
          <w14:textFill>
            <w14:solidFill>
              <w14:schemeClr w14:val="tx1"/>
            </w14:solidFill>
          </w14:textFill>
        </w:rPr>
        <w:t>监造、包装、储存、运输、安装及质量保证</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"_Toc22390017"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9.1</w:t>
      </w:r>
      <w:r>
        <w:rPr>
          <w:rStyle w:val="95"/>
          <w:rFonts w:hint="eastAsia" w:ascii="黑体" w:hAnsi="黑体"/>
          <w:color w:val="000000" w:themeColor="text1"/>
          <w14:textFill>
            <w14:solidFill>
              <w14:schemeClr w14:val="tx1"/>
            </w14:solidFill>
          </w14:textFill>
        </w:rPr>
        <w:t>监造</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20</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"_Toc22390018"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9.2</w:t>
      </w:r>
      <w:r>
        <w:rPr>
          <w:rStyle w:val="95"/>
          <w:rFonts w:hint="eastAsia" w:ascii="黑体" w:hAnsi="黑体"/>
          <w:color w:val="000000" w:themeColor="text1"/>
          <w14:textFill>
            <w14:solidFill>
              <w14:schemeClr w14:val="tx1"/>
            </w14:solidFill>
          </w14:textFill>
        </w:rPr>
        <w:t>包装</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_Toc22390018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21</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"_Toc22390019"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9.3</w:t>
      </w:r>
      <w:r>
        <w:rPr>
          <w:rStyle w:val="95"/>
          <w:rFonts w:hint="eastAsia" w:ascii="黑体" w:hAnsi="黑体"/>
          <w:color w:val="000000" w:themeColor="text1"/>
          <w14:textFill>
            <w14:solidFill>
              <w14:schemeClr w14:val="tx1"/>
            </w14:solidFill>
          </w14:textFill>
        </w:rPr>
        <w:t>储存与运输</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_Toc22390019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"_Toc22390020"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9.4</w:t>
      </w:r>
      <w:r>
        <w:rPr>
          <w:rStyle w:val="95"/>
          <w:rFonts w:hint="eastAsia" w:ascii="黑体" w:hAnsi="黑体"/>
          <w:color w:val="000000" w:themeColor="text1"/>
          <w14:textFill>
            <w14:solidFill>
              <w14:schemeClr w14:val="tx1"/>
            </w14:solidFill>
          </w14:textFill>
        </w:rPr>
        <w:t>安装指导</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_Toc22390020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"_Toc22390021"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9.5</w:t>
      </w:r>
      <w:r>
        <w:rPr>
          <w:rStyle w:val="95"/>
          <w:rFonts w:hint="eastAsia" w:ascii="黑体" w:hAnsi="黑体"/>
          <w:color w:val="000000" w:themeColor="text1"/>
          <w14:textFill>
            <w14:solidFill>
              <w14:schemeClr w14:val="tx1"/>
            </w14:solidFill>
          </w14:textFill>
        </w:rPr>
        <w:t>质量保证</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_Toc22390021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"_Toc22390022"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 xml:space="preserve">10 </w:t>
      </w:r>
      <w:r>
        <w:rPr>
          <w:rStyle w:val="95"/>
          <w:rFonts w:hint="eastAsia" w:ascii="黑体" w:hAnsi="黑体" w:eastAsia="黑体"/>
          <w:b/>
          <w:color w:val="000000" w:themeColor="text1"/>
          <w14:textFill>
            <w14:solidFill>
              <w14:schemeClr w14:val="tx1"/>
            </w14:solidFill>
          </w14:textFill>
        </w:rPr>
        <w:t>一次、二次及土建接口要求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_Toc22390022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"_Toc22390023"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10.1 500kV</w:t>
      </w:r>
      <w:r>
        <w:rPr>
          <w:rStyle w:val="95"/>
          <w:rFonts w:hint="eastAsia" w:ascii="黑体" w:hAnsi="黑体"/>
          <w:color w:val="000000" w:themeColor="text1"/>
          <w14:textFill>
            <w14:solidFill>
              <w14:schemeClr w14:val="tx1"/>
            </w14:solidFill>
          </w14:textFill>
        </w:rPr>
        <w:t>电容式电压互感器一次、二次及土建接口要求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_Toc22390023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23</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"_Toc22390024"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10.2 220kV</w:t>
      </w:r>
      <w:r>
        <w:rPr>
          <w:rStyle w:val="95"/>
          <w:rFonts w:hint="eastAsia" w:ascii="黑体" w:hAnsi="黑体"/>
          <w:color w:val="000000" w:themeColor="text1"/>
          <w14:textFill>
            <w14:solidFill>
              <w14:schemeClr w14:val="tx1"/>
            </w14:solidFill>
          </w14:textFill>
        </w:rPr>
        <w:t>电容式电压互感器一次、二次及土建接口要求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_Toc22390024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27</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70"/>
        <w:rPr>
          <w:rFonts w:asciiTheme="minorHAnsi" w:hAnsiTheme="minorHAnsi" w:eastAsiaTheme="minorEastAsia" w:cstheme="minorBidi"/>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"_Toc22390025" </w:instrText>
      </w:r>
      <w:r>
        <w:rPr>
          <w:color w:val="000000" w:themeColor="text1"/>
          <w14:textFill>
            <w14:solidFill>
              <w14:schemeClr w14:val="tx1"/>
            </w14:solidFill>
          </w14:textFill>
        </w:rPr>
        <w:fldChar w:fldCharType="separate"/>
      </w:r>
      <w:r>
        <w:rPr>
          <w:rStyle w:val="95"/>
          <w:rFonts w:ascii="黑体" w:hAnsi="黑体"/>
          <w:color w:val="000000" w:themeColor="text1"/>
          <w14:textFill>
            <w14:solidFill>
              <w14:schemeClr w14:val="tx1"/>
            </w14:solidFill>
          </w14:textFill>
        </w:rPr>
        <w:t>10.3 110kV</w:t>
      </w:r>
      <w:r>
        <w:rPr>
          <w:rStyle w:val="95"/>
          <w:rFonts w:hint="eastAsia" w:ascii="黑体" w:hAnsi="黑体"/>
          <w:color w:val="000000" w:themeColor="text1"/>
          <w14:textFill>
            <w14:solidFill>
              <w14:schemeClr w14:val="tx1"/>
            </w14:solidFill>
          </w14:textFill>
        </w:rPr>
        <w:t>电容式电压互感器一次、二次及土建接口要求</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_Toc22390025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32</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"_Toc22390026" </w:instrText>
      </w:r>
      <w:r>
        <w:rPr>
          <w:color w:val="000000" w:themeColor="text1"/>
          <w14:textFill>
            <w14:solidFill>
              <w14:schemeClr w14:val="tx1"/>
            </w14:solidFill>
          </w14:textFill>
        </w:rPr>
        <w:fldChar w:fldCharType="separate"/>
      </w:r>
      <w:r>
        <w:rPr>
          <w:rStyle w:val="95"/>
          <w:rFonts w:ascii="黑体" w:hAnsi="黑体" w:eastAsia="黑体"/>
          <w:b/>
          <w:color w:val="000000" w:themeColor="text1"/>
          <w14:textFill>
            <w14:solidFill>
              <w14:schemeClr w14:val="tx1"/>
            </w14:solidFill>
          </w14:textFill>
        </w:rPr>
        <w:t>11 LCC</w:t>
      </w:r>
      <w:r>
        <w:rPr>
          <w:rStyle w:val="95"/>
          <w:rFonts w:hint="eastAsia" w:ascii="黑体" w:hAnsi="黑体" w:eastAsia="黑体"/>
          <w:b/>
          <w:color w:val="000000" w:themeColor="text1"/>
          <w14:textFill>
            <w14:solidFill>
              <w14:schemeClr w14:val="tx1"/>
            </w14:solidFill>
          </w14:textFill>
        </w:rPr>
        <w:t>数据文件</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_Toc22390026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38</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pStyle w:val="56"/>
        <w:rPr>
          <w:rFonts w:asciiTheme="minorHAnsi" w:hAnsiTheme="minorHAnsi" w:eastAsiaTheme="minorEastAsia" w:cstheme="minorBidi"/>
          <w:b w:val="0"/>
          <w:color w:val="000000" w:themeColor="text1"/>
          <w:szCs w:val="22"/>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\l "_Toc22390027" </w:instrText>
      </w:r>
      <w:r>
        <w:rPr>
          <w:color w:val="000000" w:themeColor="text1"/>
          <w14:textFill>
            <w14:solidFill>
              <w14:schemeClr w14:val="tx1"/>
            </w14:solidFill>
          </w14:textFill>
        </w:rPr>
        <w:fldChar w:fldCharType="separate"/>
      </w:r>
      <w:r>
        <w:rPr>
          <w:rStyle w:val="95"/>
          <w:rFonts w:hint="eastAsia" w:ascii="黑体" w:hAnsi="黑体" w:eastAsia="黑体"/>
          <w:b/>
          <w:color w:val="000000" w:themeColor="text1"/>
          <w:kern w:val="44"/>
          <w14:textFill>
            <w14:solidFill>
              <w14:schemeClr w14:val="tx1"/>
            </w14:solidFill>
          </w14:textFill>
        </w:rPr>
        <w:t>附录：</w:t>
      </w:r>
      <w:r>
        <w:rPr>
          <w:rStyle w:val="95"/>
          <w:rFonts w:ascii="黑体" w:hAnsi="黑体" w:eastAsia="黑体"/>
          <w:b/>
          <w:color w:val="000000" w:themeColor="text1"/>
          <w:kern w:val="44"/>
          <w14:textFill>
            <w14:solidFill>
              <w14:schemeClr w14:val="tx1"/>
            </w14:solidFill>
          </w14:textFill>
        </w:rPr>
        <w:t>110kV~500kV</w:t>
      </w:r>
      <w:r>
        <w:rPr>
          <w:rStyle w:val="95"/>
          <w:rFonts w:hint="eastAsia" w:ascii="黑体" w:hAnsi="黑体" w:eastAsia="黑体"/>
          <w:b/>
          <w:color w:val="000000" w:themeColor="text1"/>
          <w:kern w:val="44"/>
          <w14:textFill>
            <w14:solidFill>
              <w14:schemeClr w14:val="tx1"/>
            </w14:solidFill>
          </w14:textFill>
        </w:rPr>
        <w:t>电容式电压互感器技术规范书审核表单</w:t>
      </w:r>
      <w:r>
        <w:rPr>
          <w:color w:val="000000" w:themeColor="text1"/>
          <w14:textFill>
            <w14:solidFill>
              <w14:schemeClr w14:val="tx1"/>
            </w14:solidFill>
          </w14:textFill>
        </w:rPr>
        <w:tab/>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PAGEREF _Toc22390027 \h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39</w:t>
      </w:r>
      <w:r>
        <w:rPr>
          <w:color w:val="000000" w:themeColor="text1"/>
          <w14:textFill>
            <w14:solidFill>
              <w14:schemeClr w14:val="tx1"/>
            </w14:solidFill>
          </w14:textFill>
        </w:rPr>
        <w:fldChar w:fldCharType="end"/>
      </w:r>
      <w:r>
        <w:rPr>
          <w:color w:val="000000" w:themeColor="text1"/>
          <w14:textFill>
            <w14:solidFill>
              <w14:schemeClr w14:val="tx1"/>
            </w14:solidFill>
          </w14:textFill>
        </w:rPr>
        <w:fldChar w:fldCharType="end"/>
      </w:r>
    </w:p>
    <w:p>
      <w:pPr>
        <w:rPr>
          <w:color w:val="000000" w:themeColor="text1"/>
          <w14:textFill>
            <w14:solidFill>
              <w14:schemeClr w14:val="tx1"/>
            </w14:solidFill>
          </w14:textFill>
        </w:rPr>
        <w:sectPr>
          <w:footerReference r:id="rId6" w:type="first"/>
          <w:headerReference r:id="rId3" w:type="default"/>
          <w:footerReference r:id="rId4" w:type="default"/>
          <w:footerReference r:id="rId5" w:type="even"/>
          <w:pgSz w:w="11906" w:h="16838"/>
          <w:pgMar w:top="1440" w:right="1418" w:bottom="1440" w:left="1134" w:header="851" w:footer="992" w:gutter="0"/>
          <w:pgNumType w:start="0"/>
          <w:cols w:space="720" w:num="1"/>
          <w:titlePg/>
          <w:docGrid w:type="lines" w:linePitch="312" w:charSpace="0"/>
        </w:sectPr>
      </w:pPr>
      <w:r>
        <w:rPr>
          <w:color w:val="000000" w:themeColor="text1"/>
          <w14:textFill>
            <w14:solidFill>
              <w14:schemeClr w14:val="tx1"/>
            </w14:solidFill>
          </w14:textFill>
        </w:rPr>
        <w:fldChar w:fldCharType="end"/>
      </w:r>
      <w:bookmarkStart w:id="0" w:name="_Toc241911990"/>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1" w:name="_Toc22389993"/>
      <w:bookmarkStart w:id="2" w:name="_Toc384340975"/>
      <w:r>
        <w:rPr>
          <w:rFonts w:hint="eastAsia" w:ascii="黑体" w:hAnsi="黑体" w:eastAsia="黑体"/>
          <w:b/>
          <w:color w:val="000000" w:themeColor="text1"/>
          <w:sz w:val="21"/>
          <w:szCs w:val="21"/>
          <w14:textFill>
            <w14:solidFill>
              <w14:schemeClr w14:val="tx1"/>
            </w14:solidFill>
          </w14:textFill>
        </w:rPr>
        <w:t>1 总则</w:t>
      </w:r>
      <w:bookmarkEnd w:id="1"/>
      <w:bookmarkEnd w:id="2"/>
    </w:p>
    <w:p>
      <w:pPr>
        <w:adjustRightInd w:val="0"/>
        <w:snapToGrid w:val="0"/>
        <w:spacing w:line="360" w:lineRule="auto"/>
        <w:rPr>
          <w:rFonts w:ascii="宋体" w:hAnsi="宋体"/>
          <w:color w:val="000000" w:themeColor="text1"/>
          <w:spacing w:val="-4"/>
          <w:szCs w:val="21"/>
          <w14:textFill>
            <w14:solidFill>
              <w14:schemeClr w14:val="tx1"/>
            </w14:solidFill>
          </w14:textFill>
        </w:rPr>
      </w:pPr>
      <w:r>
        <w:rPr>
          <w:rFonts w:ascii="黑体" w:hAnsi="黑体" w:eastAsia="黑体"/>
          <w:color w:val="000000" w:themeColor="text1"/>
          <w:spacing w:val="-4"/>
          <w:szCs w:val="21"/>
          <w14:textFill>
            <w14:solidFill>
              <w14:schemeClr w14:val="tx1"/>
            </w14:solidFill>
          </w14:textFill>
        </w:rPr>
        <w:t xml:space="preserve">1.1 </w:t>
      </w:r>
      <w:r>
        <w:rPr>
          <w:rFonts w:hint="eastAsia" w:ascii="宋体" w:hAnsi="宋体"/>
          <w:color w:val="000000" w:themeColor="text1"/>
          <w:spacing w:val="-4"/>
          <w:szCs w:val="21"/>
          <w14:textFill>
            <w14:solidFill>
              <w14:schemeClr w14:val="tx1"/>
            </w14:solidFill>
          </w14:textFill>
        </w:rPr>
        <w:t>本设备技术规范书适用于中国南方电网公司电网建设工程项目采购</w:t>
      </w:r>
      <w:r>
        <w:rPr>
          <w:rFonts w:hint="eastAsia"/>
          <w:color w:val="000000" w:themeColor="text1"/>
          <w:spacing w:val="-4"/>
          <w:szCs w:val="21"/>
          <w14:textFill>
            <w14:solidFill>
              <w14:schemeClr w14:val="tx1"/>
            </w14:solidFill>
          </w14:textFill>
        </w:rPr>
        <w:t>110</w:t>
      </w:r>
      <w:r>
        <w:rPr>
          <w:color w:val="000000" w:themeColor="text1"/>
          <w:spacing w:val="-4"/>
          <w:szCs w:val="21"/>
          <w14:textFill>
            <w14:solidFill>
              <w14:schemeClr w14:val="tx1"/>
            </w14:solidFill>
          </w14:textFill>
        </w:rPr>
        <w:t>kV-500kV</w:t>
      </w:r>
      <w:r>
        <w:rPr>
          <w:rFonts w:hint="eastAsia" w:ascii="宋体" w:hAnsi="宋体"/>
          <w:color w:val="000000" w:themeColor="text1"/>
          <w:spacing w:val="-4"/>
          <w:szCs w:val="21"/>
          <w14:textFill>
            <w14:solidFill>
              <w14:schemeClr w14:val="tx1"/>
            </w14:solidFill>
          </w14:textFill>
        </w:rPr>
        <w:t>电压等级的油浸电容式电压互感器，它提出了该设备本体及附属设备的功能设计、结构、性能、安装和试验等方面的技术要求。</w:t>
      </w:r>
    </w:p>
    <w:p>
      <w:pPr>
        <w:pStyle w:val="43"/>
        <w:adjustRightInd w:val="0"/>
        <w:snapToGrid w:val="0"/>
        <w:spacing w:line="360" w:lineRule="auto"/>
        <w:rPr>
          <w:rFonts w:hAnsi="宋体" w:cs="Times New Roman"/>
          <w:color w:val="000000" w:themeColor="text1"/>
          <w:szCs w:val="24"/>
          <w14:textFill>
            <w14:solidFill>
              <w14:schemeClr w14:val="tx1"/>
            </w14:solidFill>
          </w14:textFill>
        </w:rPr>
      </w:pPr>
      <w:r>
        <w:rPr>
          <w:rFonts w:ascii="黑体" w:hAnsi="黑体" w:eastAsia="黑体" w:cs="Times New Roman"/>
          <w:color w:val="000000" w:themeColor="text1"/>
          <w:spacing w:val="-4"/>
          <w14:textFill>
            <w14:solidFill>
              <w14:schemeClr w14:val="tx1"/>
            </w14:solidFill>
          </w14:textFill>
        </w:rPr>
        <w:t>1.2</w:t>
      </w:r>
      <w:r>
        <w:rPr>
          <w:rFonts w:hint="eastAsia" w:hAnsi="宋体" w:cs="Times New Roman"/>
          <w:color w:val="000000" w:themeColor="text1"/>
          <w:szCs w:val="24"/>
          <w14:textFill>
            <w14:solidFill>
              <w14:schemeClr w14:val="tx1"/>
            </w14:solidFill>
          </w14:textFill>
        </w:rPr>
        <w:t>本设备技术规范书提出的是最低限度的技术要求。凡本技术规范书中未规定，但在相关设备的行业标准、国家标准或</w:t>
      </w:r>
      <w:r>
        <w:rPr>
          <w:rFonts w:hAnsi="宋体" w:cs="Times New Roman"/>
          <w:color w:val="000000" w:themeColor="text1"/>
          <w:szCs w:val="24"/>
          <w14:textFill>
            <w14:solidFill>
              <w14:schemeClr w14:val="tx1"/>
            </w14:solidFill>
          </w14:textFill>
        </w:rPr>
        <w:t>IEC</w:t>
      </w:r>
      <w:r>
        <w:rPr>
          <w:rFonts w:hint="eastAsia" w:hAnsi="宋体" w:cs="Times New Roman"/>
          <w:color w:val="000000" w:themeColor="text1"/>
          <w:szCs w:val="24"/>
          <w14:textFill>
            <w14:solidFill>
              <w14:schemeClr w14:val="tx1"/>
            </w14:solidFill>
          </w14:textFill>
        </w:rPr>
        <w:t>标准中有规定的规范条文，供应商应按相应标准的条文进行设备设计、制造、试验和安装。对国家有关安全、环保等强制性标准，必须满足其要求</w:t>
      </w:r>
      <w:r>
        <w:rPr>
          <w:rFonts w:hAnsi="宋体" w:cs="Times New Roman"/>
          <w:color w:val="000000" w:themeColor="text1"/>
          <w:szCs w:val="24"/>
          <w14:textFill>
            <w14:solidFill>
              <w14:schemeClr w14:val="tx1"/>
            </w14:solidFill>
          </w14:textFill>
        </w:rPr>
        <w:t>（如压力容器、高电压设备等）</w:t>
      </w:r>
      <w:r>
        <w:rPr>
          <w:rFonts w:hint="eastAsia" w:hAnsi="宋体" w:cs="Times New Roman"/>
          <w:color w:val="000000" w:themeColor="text1"/>
          <w:szCs w:val="24"/>
          <w14:textFill>
            <w14:solidFill>
              <w14:schemeClr w14:val="tx1"/>
            </w14:solidFill>
          </w14:textFill>
        </w:rPr>
        <w:t>。</w:t>
      </w:r>
    </w:p>
    <w:p>
      <w:pPr>
        <w:adjustRightInd w:val="0"/>
        <w:snapToGrid w:val="0"/>
        <w:spacing w:line="360" w:lineRule="auto"/>
        <w:rPr>
          <w:rFonts w:ascii="宋体" w:hAnsi="宋体"/>
          <w:color w:val="000000" w:themeColor="text1"/>
          <w14:textFill>
            <w14:solidFill>
              <w14:schemeClr w14:val="tx1"/>
            </w14:solidFill>
          </w14:textFill>
        </w:rPr>
      </w:pPr>
      <w:r>
        <w:rPr>
          <w:rFonts w:ascii="黑体" w:hAnsi="黑体" w:eastAsia="黑体"/>
          <w:color w:val="000000" w:themeColor="text1"/>
          <w:spacing w:val="-4"/>
          <w:szCs w:val="21"/>
          <w14:textFill>
            <w14:solidFill>
              <w14:schemeClr w14:val="tx1"/>
            </w14:solidFill>
          </w14:textFill>
        </w:rPr>
        <w:t>1.3</w:t>
      </w:r>
      <w:r>
        <w:rPr>
          <w:rFonts w:hint="eastAsia" w:ascii="宋体" w:hAnsi="宋体"/>
          <w:color w:val="000000" w:themeColor="text1"/>
          <w14:textFill>
            <w14:solidFill>
              <w14:schemeClr w14:val="tx1"/>
            </w14:solidFill>
          </w14:textFill>
        </w:rPr>
        <w:t>如果供应商没有以书面形式对本</w:t>
      </w:r>
      <w:r>
        <w:rPr>
          <w:rFonts w:hint="eastAsia" w:hAnsi="宋体"/>
          <w:color w:val="000000" w:themeColor="text1"/>
          <w14:textFill>
            <w14:solidFill>
              <w14:schemeClr w14:val="tx1"/>
            </w14:solidFill>
          </w14:textFill>
        </w:rPr>
        <w:t>技术规范书</w:t>
      </w:r>
      <w:r>
        <w:rPr>
          <w:rFonts w:hint="eastAsia" w:ascii="宋体" w:hAnsi="宋体"/>
          <w:color w:val="000000" w:themeColor="text1"/>
          <w14:textFill>
            <w14:solidFill>
              <w14:schemeClr w14:val="tx1"/>
            </w14:solidFill>
          </w14:textFill>
        </w:rPr>
        <w:t>的条文提出异议，则意味着提供的设备完全符合本</w:t>
      </w:r>
      <w:r>
        <w:rPr>
          <w:rFonts w:hint="eastAsia" w:hAnsi="宋体"/>
          <w:color w:val="000000" w:themeColor="text1"/>
          <w14:textFill>
            <w14:solidFill>
              <w14:schemeClr w14:val="tx1"/>
            </w14:solidFill>
          </w14:textFill>
        </w:rPr>
        <w:t>技术规范书</w:t>
      </w:r>
      <w:r>
        <w:rPr>
          <w:rFonts w:hint="eastAsia" w:ascii="宋体" w:hAnsi="宋体"/>
          <w:color w:val="000000" w:themeColor="text1"/>
          <w14:textFill>
            <w14:solidFill>
              <w14:schemeClr w14:val="tx1"/>
            </w14:solidFill>
          </w14:textFill>
        </w:rPr>
        <w:t>的要求。如有异议，不管是多么微小，都应以“对技术规范书的意见和同技术规范书的差异”为标题的专门章节中加以详细描述。</w:t>
      </w:r>
    </w:p>
    <w:p>
      <w:pPr>
        <w:adjustRightInd w:val="0"/>
        <w:snapToGrid w:val="0"/>
        <w:spacing w:line="360" w:lineRule="auto"/>
        <w:rPr>
          <w:rFonts w:ascii="宋体" w:hAnsi="宋体"/>
          <w:color w:val="000000" w:themeColor="text1"/>
          <w:spacing w:val="-2"/>
          <w:szCs w:val="21"/>
          <w14:textFill>
            <w14:solidFill>
              <w14:schemeClr w14:val="tx1"/>
            </w14:solidFill>
          </w14:textFill>
        </w:rPr>
      </w:pPr>
      <w:r>
        <w:rPr>
          <w:rFonts w:ascii="黑体" w:hAnsi="黑体" w:eastAsia="黑体"/>
          <w:color w:val="000000" w:themeColor="text1"/>
          <w:spacing w:val="-4"/>
          <w:szCs w:val="21"/>
          <w14:textFill>
            <w14:solidFill>
              <w14:schemeClr w14:val="tx1"/>
            </w14:solidFill>
          </w14:textFill>
        </w:rPr>
        <w:t>1.4</w:t>
      </w:r>
      <w:r>
        <w:rPr>
          <w:rFonts w:hint="eastAsia" w:ascii="宋体" w:hAnsi="宋体"/>
          <w:color w:val="000000" w:themeColor="text1"/>
          <w:spacing w:val="-2"/>
          <w:szCs w:val="21"/>
          <w14:textFill>
            <w14:solidFill>
              <w14:schemeClr w14:val="tx1"/>
            </w14:solidFill>
          </w14:textFill>
        </w:rPr>
        <w:t>本</w:t>
      </w:r>
      <w:r>
        <w:rPr>
          <w:rFonts w:hint="eastAsia" w:hAnsi="宋体"/>
          <w:color w:val="000000" w:themeColor="text1"/>
          <w14:textFill>
            <w14:solidFill>
              <w14:schemeClr w14:val="tx1"/>
            </w14:solidFill>
          </w14:textFill>
        </w:rPr>
        <w:t>技术规范书</w:t>
      </w:r>
      <w:r>
        <w:rPr>
          <w:rFonts w:hint="eastAsia" w:ascii="宋体" w:hAnsi="宋体"/>
          <w:color w:val="000000" w:themeColor="text1"/>
          <w:spacing w:val="-2"/>
          <w:szCs w:val="21"/>
          <w14:textFill>
            <w14:solidFill>
              <w14:schemeClr w14:val="tx1"/>
            </w14:solidFill>
          </w14:textFill>
        </w:rPr>
        <w:t>所使用的标准如遇与供应商所执行的标准不一致时，按较高标准执行。</w:t>
      </w:r>
    </w:p>
    <w:p>
      <w:pPr>
        <w:adjustRightInd w:val="0"/>
        <w:snapToGrid w:val="0"/>
        <w:spacing w:line="360" w:lineRule="auto"/>
        <w:rPr>
          <w:rFonts w:ascii="宋体" w:hAnsi="宋体"/>
          <w:color w:val="000000" w:themeColor="text1"/>
          <w14:textFill>
            <w14:solidFill>
              <w14:schemeClr w14:val="tx1"/>
            </w14:solidFill>
          </w14:textFill>
        </w:rPr>
      </w:pPr>
      <w:r>
        <w:rPr>
          <w:rFonts w:ascii="黑体" w:hAnsi="黑体" w:eastAsia="黑体"/>
          <w:color w:val="000000" w:themeColor="text1"/>
          <w:spacing w:val="-4"/>
          <w:szCs w:val="21"/>
          <w14:textFill>
            <w14:solidFill>
              <w14:schemeClr w14:val="tx1"/>
            </w14:solidFill>
          </w14:textFill>
        </w:rPr>
        <w:t>1.5</w:t>
      </w:r>
      <w:r>
        <w:rPr>
          <w:rFonts w:hint="eastAsia" w:ascii="宋体" w:hAnsi="宋体"/>
          <w:color w:val="000000" w:themeColor="text1"/>
          <w14:textFill>
            <w14:solidFill>
              <w14:schemeClr w14:val="tx1"/>
            </w14:solidFill>
          </w14:textFill>
        </w:rPr>
        <w:t>本</w:t>
      </w:r>
      <w:r>
        <w:rPr>
          <w:rFonts w:hint="eastAsia" w:hAnsi="宋体"/>
          <w:color w:val="000000" w:themeColor="text1"/>
          <w14:textFill>
            <w14:solidFill>
              <w14:schemeClr w14:val="tx1"/>
            </w14:solidFill>
          </w14:textFill>
        </w:rPr>
        <w:t>技术规范书</w:t>
      </w:r>
      <w:r>
        <w:rPr>
          <w:rFonts w:hint="eastAsia" w:ascii="宋体" w:hAnsi="宋体"/>
          <w:color w:val="000000" w:themeColor="text1"/>
          <w14:textFill>
            <w14:solidFill>
              <w14:schemeClr w14:val="tx1"/>
            </w14:solidFill>
          </w14:textFill>
        </w:rPr>
        <w:t>经买、卖双方确认后作为订货合同的技术附件，与合同正文具有同等的法律效力。</w:t>
      </w:r>
    </w:p>
    <w:p>
      <w:pPr>
        <w:adjustRightInd w:val="0"/>
        <w:snapToGrid w:val="0"/>
        <w:spacing w:line="360" w:lineRule="auto"/>
        <w:rPr>
          <w:rFonts w:ascii="宋体" w:hAnsi="宋体"/>
          <w:color w:val="000000" w:themeColor="text1"/>
          <w14:textFill>
            <w14:solidFill>
              <w14:schemeClr w14:val="tx1"/>
            </w14:solidFill>
          </w14:textFill>
        </w:rPr>
      </w:pPr>
      <w:r>
        <w:rPr>
          <w:rFonts w:ascii="黑体" w:hAnsi="黑体" w:eastAsia="黑体"/>
          <w:color w:val="000000" w:themeColor="text1"/>
          <w:spacing w:val="-4"/>
          <w:szCs w:val="21"/>
          <w14:textFill>
            <w14:solidFill>
              <w14:schemeClr w14:val="tx1"/>
            </w14:solidFill>
          </w14:textFill>
        </w:rPr>
        <w:t>1.6</w:t>
      </w:r>
      <w:r>
        <w:rPr>
          <w:rFonts w:hint="eastAsia" w:ascii="宋体" w:hAnsi="宋体"/>
          <w:color w:val="000000" w:themeColor="text1"/>
          <w14:textFill>
            <w14:solidFill>
              <w14:schemeClr w14:val="tx1"/>
            </w14:solidFill>
          </w14:textFill>
        </w:rPr>
        <w:t>本</w:t>
      </w:r>
      <w:r>
        <w:rPr>
          <w:rFonts w:hint="eastAsia" w:hAnsi="宋体"/>
          <w:color w:val="000000" w:themeColor="text1"/>
          <w14:textFill>
            <w14:solidFill>
              <w14:schemeClr w14:val="tx1"/>
            </w14:solidFill>
          </w14:textFill>
        </w:rPr>
        <w:t>技术规范书</w:t>
      </w:r>
      <w:r>
        <w:rPr>
          <w:rFonts w:hint="eastAsia" w:ascii="宋体" w:hAnsi="宋体"/>
          <w:color w:val="000000" w:themeColor="text1"/>
          <w14:textFill>
            <w14:solidFill>
              <w14:schemeClr w14:val="tx1"/>
            </w14:solidFill>
          </w14:textFill>
        </w:rPr>
        <w:t>未尽事宜，由买、卖双方协商确定。</w:t>
      </w:r>
    </w:p>
    <w:p>
      <w:pPr>
        <w:pStyle w:val="43"/>
        <w:adjustRightInd w:val="0"/>
        <w:snapToGrid w:val="0"/>
        <w:spacing w:line="360" w:lineRule="auto"/>
        <w:rPr>
          <w:rFonts w:hAnsi="宋体" w:cs="Times New Roman"/>
          <w:color w:val="000000" w:themeColor="text1"/>
          <w:spacing w:val="-4"/>
          <w14:textFill>
            <w14:solidFill>
              <w14:schemeClr w14:val="tx1"/>
            </w14:solidFill>
          </w14:textFill>
        </w:rPr>
      </w:pPr>
      <w:r>
        <w:rPr>
          <w:rFonts w:hint="eastAsia" w:ascii="黑体" w:hAnsi="黑体" w:eastAsia="黑体" w:cs="Times New Roman"/>
          <w:color w:val="000000" w:themeColor="text1"/>
          <w:spacing w:val="-4"/>
          <w14:textFill>
            <w14:solidFill>
              <w14:schemeClr w14:val="tx1"/>
            </w14:solidFill>
          </w14:textFill>
        </w:rPr>
        <w:t xml:space="preserve">1.7 </w:t>
      </w:r>
      <w:r>
        <w:rPr>
          <w:rFonts w:hint="eastAsia" w:hAnsi="宋体" w:cs="Times New Roman"/>
          <w:color w:val="000000" w:themeColor="text1"/>
          <w:spacing w:val="-6"/>
          <w14:textFill>
            <w14:solidFill>
              <w14:schemeClr w14:val="tx1"/>
            </w14:solidFill>
          </w14:textFill>
        </w:rPr>
        <w:t>供应商在应标技术规范书中应如实反映应标产品与本</w:t>
      </w:r>
      <w:r>
        <w:rPr>
          <w:rFonts w:hint="eastAsia" w:hAnsi="宋体" w:cs="Times New Roman"/>
          <w:color w:val="000000" w:themeColor="text1"/>
          <w:szCs w:val="24"/>
          <w14:textFill>
            <w14:solidFill>
              <w14:schemeClr w14:val="tx1"/>
            </w14:solidFill>
          </w14:textFill>
        </w:rPr>
        <w:t>技术规范书</w:t>
      </w:r>
      <w:r>
        <w:rPr>
          <w:rFonts w:hint="eastAsia" w:hAnsi="宋体" w:cs="Times New Roman"/>
          <w:color w:val="000000" w:themeColor="text1"/>
          <w:spacing w:val="-6"/>
          <w14:textFill>
            <w14:solidFill>
              <w14:schemeClr w14:val="tx1"/>
            </w14:solidFill>
          </w14:textFill>
        </w:rPr>
        <w:t>的技术差异。如果没有提出技术差异，而在执行合同的过程中，招标方发现供应商提供的产品与其应标技术规范书的条文存在差异，招标方有权利要求退货，并将对下一年度的评标工作有不同程度的影响。</w:t>
      </w:r>
    </w:p>
    <w:p>
      <w:pPr>
        <w:pStyle w:val="43"/>
        <w:adjustRightInd w:val="0"/>
        <w:snapToGrid w:val="0"/>
        <w:spacing w:line="360" w:lineRule="auto"/>
        <w:rPr>
          <w:rFonts w:hAnsi="宋体" w:cs="Times New Roman"/>
          <w:color w:val="000000" w:themeColor="text1"/>
          <w:szCs w:val="24"/>
          <w14:textFill>
            <w14:solidFill>
              <w14:schemeClr w14:val="tx1"/>
            </w14:solidFill>
          </w14:textFill>
        </w:rPr>
      </w:pPr>
      <w:r>
        <w:rPr>
          <w:rFonts w:hint="eastAsia" w:ascii="黑体" w:hAnsi="黑体" w:eastAsia="黑体" w:cs="Times New Roman"/>
          <w:color w:val="000000" w:themeColor="text1"/>
          <w:spacing w:val="-4"/>
          <w14:textFill>
            <w14:solidFill>
              <w14:schemeClr w14:val="tx1"/>
            </w14:solidFill>
          </w14:textFill>
        </w:rPr>
        <w:t xml:space="preserve">1.8 </w:t>
      </w:r>
      <w:r>
        <w:rPr>
          <w:rFonts w:hint="eastAsia" w:hAnsi="宋体" w:cs="Times New Roman"/>
          <w:color w:val="000000" w:themeColor="text1"/>
          <w:szCs w:val="24"/>
          <w14:textFill>
            <w14:solidFill>
              <w14:schemeClr w14:val="tx1"/>
            </w14:solidFill>
          </w14:textFill>
        </w:rPr>
        <w:t>供应商应在应标技术部分按本技术规范书的要求如实详细的填写应标设备的标准配置表，并在应标商务部分按此标准配置进行报价，如发现二者有矛盾之处，将对评标工作有不同程度的影响。</w:t>
      </w:r>
    </w:p>
    <w:p>
      <w:pPr>
        <w:adjustRightInd w:val="0"/>
        <w:snapToGrid w:val="0"/>
        <w:spacing w:line="360" w:lineRule="auto"/>
        <w:rPr>
          <w:rFonts w:ascii="宋体" w:hAnsi="宋体"/>
          <w:color w:val="000000" w:themeColor="text1"/>
          <w14:textFill>
            <w14:solidFill>
              <w14:schemeClr w14:val="tx1"/>
            </w14:solidFill>
          </w14:textFill>
        </w:rPr>
      </w:pPr>
      <w:r>
        <w:rPr>
          <w:rFonts w:hint="eastAsia" w:ascii="黑体" w:hAnsi="黑体" w:eastAsia="黑体"/>
          <w:color w:val="000000" w:themeColor="text1"/>
          <w:spacing w:val="-4"/>
          <w:szCs w:val="21"/>
          <w14:textFill>
            <w14:solidFill>
              <w14:schemeClr w14:val="tx1"/>
            </w14:solidFill>
          </w14:textFill>
        </w:rPr>
        <w:t>1.9</w:t>
      </w:r>
      <w:r>
        <w:rPr>
          <w:rFonts w:hint="eastAsia" w:ascii="宋体" w:hAnsi="宋体"/>
          <w:color w:val="000000" w:themeColor="text1"/>
          <w14:textFill>
            <w14:solidFill>
              <w14:schemeClr w14:val="tx1"/>
            </w14:solidFill>
          </w14:textFill>
        </w:rPr>
        <w:t>供应商应充分理解本技术规范书并按本技术规范书的具体条款、格式要求填写应标的技术文件，如发现应标的技术文件条款、格式不符合本技术规范书的要求，则认为应标不严肃，在评标时将有不同程度的扣分。</w:t>
      </w:r>
    </w:p>
    <w:bookmarkEnd w:id="0"/>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3" w:name="_Toc112756677"/>
      <w:bookmarkStart w:id="4" w:name="_Toc22389994"/>
      <w:bookmarkStart w:id="5" w:name="_Toc279695347"/>
      <w:bookmarkStart w:id="6" w:name="_Toc384340976"/>
      <w:bookmarkStart w:id="7" w:name="_Toc246216316"/>
      <w:bookmarkStart w:id="8" w:name="_Toc271281204"/>
      <w:bookmarkStart w:id="9" w:name="_Toc276492358"/>
      <w:bookmarkStart w:id="10" w:name="_Toc276490890"/>
      <w:bookmarkStart w:id="11" w:name="_Toc155114607"/>
      <w:bookmarkStart w:id="12" w:name="_Toc241911995"/>
      <w:r>
        <w:rPr>
          <w:rFonts w:hint="eastAsia" w:ascii="黑体" w:hAnsi="黑体" w:eastAsia="黑体"/>
          <w:b/>
          <w:color w:val="000000" w:themeColor="text1"/>
          <w:sz w:val="21"/>
          <w:szCs w:val="21"/>
          <w14:textFill>
            <w14:solidFill>
              <w14:schemeClr w14:val="tx1"/>
            </w14:solidFill>
          </w14:textFill>
        </w:rPr>
        <w:t>2 工作范围</w:t>
      </w:r>
      <w:bookmarkEnd w:id="3"/>
      <w:bookmarkEnd w:id="4"/>
      <w:bookmarkEnd w:id="5"/>
      <w:bookmarkEnd w:id="6"/>
      <w:bookmarkEnd w:id="7"/>
      <w:bookmarkEnd w:id="8"/>
      <w:bookmarkEnd w:id="9"/>
      <w:bookmarkEnd w:id="10"/>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3" w:name="_Toc384340977"/>
      <w:bookmarkStart w:id="14" w:name="_Toc22389995"/>
      <w:r>
        <w:rPr>
          <w:rFonts w:hint="eastAsia" w:ascii="黑体" w:hAnsi="黑体"/>
          <w:color w:val="000000" w:themeColor="text1"/>
          <w14:textFill>
            <w14:solidFill>
              <w14:schemeClr w14:val="tx1"/>
            </w14:solidFill>
          </w14:textFill>
        </w:rPr>
        <w:t>2</w:t>
      </w:r>
      <w:r>
        <w:rPr>
          <w:rFonts w:ascii="黑体" w:hAnsi="黑体"/>
          <w:color w:val="000000" w:themeColor="text1"/>
          <w14:textFill>
            <w14:solidFill>
              <w14:schemeClr w14:val="tx1"/>
            </w14:solidFill>
          </w14:textFill>
        </w:rPr>
        <w:t>.1</w:t>
      </w:r>
      <w:r>
        <w:rPr>
          <w:rFonts w:hint="eastAsia" w:ascii="黑体" w:hAnsi="黑体"/>
          <w:color w:val="000000" w:themeColor="text1"/>
          <w14:textFill>
            <w14:solidFill>
              <w14:schemeClr w14:val="tx1"/>
            </w14:solidFill>
          </w14:textFill>
        </w:rPr>
        <w:t xml:space="preserve"> 工程概况</w:t>
      </w:r>
      <w:bookmarkEnd w:id="13"/>
      <w:bookmarkEnd w:id="14"/>
    </w:p>
    <w:p>
      <w:pPr>
        <w:pStyle w:val="118"/>
        <w:spacing w:line="360" w:lineRule="auto"/>
        <w:rPr>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本技术规范书采购的设备适用的工程概</w:t>
      </w:r>
      <w:r>
        <w:rPr>
          <w:rFonts w:hAnsi="宋体" w:eastAsia="宋体"/>
          <w:color w:val="000000" w:themeColor="text1"/>
          <w14:textFill>
            <w14:solidFill>
              <w14:schemeClr w14:val="tx1"/>
            </w14:solidFill>
          </w14:textFill>
        </w:rPr>
        <w:t>况</w:t>
      </w:r>
      <w:r>
        <w:rPr>
          <w:rFonts w:hint="eastAsia" w:hAnsi="宋体" w:eastAsia="宋体"/>
          <w:color w:val="000000" w:themeColor="text1"/>
          <w14:textFill>
            <w14:solidFill>
              <w14:schemeClr w14:val="tx1"/>
            </w14:solidFill>
          </w14:textFill>
        </w:rPr>
        <w:t>详见专用部分。</w:t>
      </w:r>
    </w:p>
    <w:p>
      <w:pPr>
        <w:pStyle w:val="5"/>
        <w:numPr>
          <w:ilvl w:val="0"/>
          <w:numId w:val="0"/>
        </w:numPr>
        <w:adjustRightInd w:val="0"/>
        <w:snapToGrid w:val="0"/>
        <w:spacing w:before="120" w:beforeLines="50" w:line="360" w:lineRule="auto"/>
        <w:rPr>
          <w:rFonts w:ascii="黑体" w:hAnsi="黑体"/>
          <w:color w:val="000000" w:themeColor="text1"/>
          <w14:textFill>
            <w14:solidFill>
              <w14:schemeClr w14:val="tx1"/>
            </w14:solidFill>
          </w14:textFill>
        </w:rPr>
      </w:pPr>
      <w:bookmarkStart w:id="15" w:name="_Toc384340978"/>
      <w:bookmarkStart w:id="16" w:name="_Toc22389996"/>
      <w:r>
        <w:rPr>
          <w:rFonts w:ascii="黑体" w:hAnsi="黑体"/>
          <w:color w:val="000000" w:themeColor="text1"/>
          <w14:textFill>
            <w14:solidFill>
              <w14:schemeClr w14:val="tx1"/>
            </w14:solidFill>
          </w14:textFill>
        </w:rPr>
        <w:t>2.</w:t>
      </w:r>
      <w:r>
        <w:rPr>
          <w:rFonts w:hint="eastAsia" w:ascii="黑体" w:hAnsi="黑体"/>
          <w:color w:val="000000" w:themeColor="text1"/>
          <w14:textFill>
            <w14:solidFill>
              <w14:schemeClr w14:val="tx1"/>
            </w14:solidFill>
          </w14:textFill>
        </w:rPr>
        <w:t>2</w:t>
      </w:r>
      <w:r>
        <w:rPr>
          <w:rFonts w:ascii="黑体" w:hAnsi="黑体"/>
          <w:color w:val="000000" w:themeColor="text1"/>
          <w14:textFill>
            <w14:solidFill>
              <w14:schemeClr w14:val="tx1"/>
            </w14:solidFill>
          </w14:textFill>
        </w:rPr>
        <w:t xml:space="preserve"> 范围和界限</w:t>
      </w:r>
      <w:bookmarkEnd w:id="15"/>
      <w:bookmarkEnd w:id="16"/>
    </w:p>
    <w:p>
      <w:pPr>
        <w:adjustRightInd w:val="0"/>
        <w:snapToGrid w:val="0"/>
        <w:spacing w:line="360" w:lineRule="auto"/>
        <w:ind w:firstLine="420" w:firstLineChars="200"/>
        <w:rPr>
          <w:rFonts w:ascii="宋体" w:hAnsi="宋体"/>
          <w:color w:val="000000" w:themeColor="text1"/>
          <w14:textFill>
            <w14:solidFill>
              <w14:schemeClr w14:val="tx1"/>
            </w14:solidFill>
          </w14:textFill>
        </w:rPr>
      </w:pPr>
      <w:r>
        <w:rPr>
          <w:rFonts w:eastAsia="黑体"/>
          <w:color w:val="000000" w:themeColor="text1"/>
          <w14:textFill>
            <w14:solidFill>
              <w14:schemeClr w14:val="tx1"/>
            </w14:solidFill>
          </w14:textFill>
        </w:rPr>
        <w:t>1</w:t>
      </w:r>
      <w:r>
        <w:rPr>
          <w:rFonts w:ascii="宋体" w:hAnsi="宋体"/>
          <w:color w:val="000000" w:themeColor="text1"/>
          <w14:textFill>
            <w14:solidFill>
              <w14:schemeClr w14:val="tx1"/>
            </w14:solidFill>
          </w14:textFill>
        </w:rPr>
        <w:t>）本</w:t>
      </w:r>
      <w:r>
        <w:rPr>
          <w:rFonts w:hint="eastAsia" w:ascii="宋体" w:hAnsi="宋体"/>
          <w:color w:val="000000" w:themeColor="text1"/>
          <w14:textFill>
            <w14:solidFill>
              <w14:schemeClr w14:val="tx1"/>
            </w14:solidFill>
          </w14:textFill>
        </w:rPr>
        <w:t>技术规范书</w:t>
      </w:r>
      <w:r>
        <w:rPr>
          <w:rFonts w:ascii="宋体" w:hAnsi="宋体"/>
          <w:color w:val="000000" w:themeColor="text1"/>
          <w14:textFill>
            <w14:solidFill>
              <w14:schemeClr w14:val="tx1"/>
            </w14:solidFill>
          </w14:textFill>
        </w:rPr>
        <w:t>适应于</w:t>
      </w:r>
      <w:r>
        <w:rPr>
          <w:color w:val="000000" w:themeColor="text1"/>
          <w14:textFill>
            <w14:solidFill>
              <w14:schemeClr w14:val="tx1"/>
            </w14:solidFill>
          </w14:textFill>
        </w:rPr>
        <w:t>中国南方电网公司所属变电站（发电厂）新建、扩建及改造工程，</w:t>
      </w:r>
      <w:r>
        <w:rPr>
          <w:rFonts w:hint="eastAsia"/>
          <w:color w:val="000000" w:themeColor="text1"/>
          <w14:textFill>
            <w14:solidFill>
              <w14:schemeClr w14:val="tx1"/>
            </w14:solidFill>
          </w14:textFill>
        </w:rPr>
        <w:t>油浸</w:t>
      </w:r>
      <w:r>
        <w:rPr>
          <w:rFonts w:hint="eastAsia" w:ascii="宋体" w:hAnsi="宋体"/>
          <w:color w:val="000000" w:themeColor="text1"/>
          <w14:textFill>
            <w14:solidFill>
              <w14:schemeClr w14:val="tx1"/>
            </w14:solidFill>
          </w14:textFill>
        </w:rPr>
        <w:t>电容式电压互感器</w:t>
      </w:r>
      <w:r>
        <w:rPr>
          <w:rFonts w:ascii="宋体" w:hAnsi="宋体"/>
          <w:color w:val="000000" w:themeColor="text1"/>
          <w14:textFill>
            <w14:solidFill>
              <w14:schemeClr w14:val="tx1"/>
            </w14:solidFill>
          </w14:textFill>
        </w:rPr>
        <w:t>及其附属设备的设计</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制造</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装配</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工厂试验</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交付</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现场安装和试验的指导、监督以及试运行工作。</w:t>
      </w:r>
    </w:p>
    <w:p>
      <w:pPr>
        <w:adjustRightInd w:val="0"/>
        <w:snapToGrid w:val="0"/>
        <w:spacing w:line="360" w:lineRule="auto"/>
        <w:ind w:firstLine="420" w:firstLineChars="200"/>
        <w:rPr>
          <w:rFonts w:ascii="宋体" w:hAnsi="宋体"/>
          <w:color w:val="000000" w:themeColor="text1"/>
          <w14:textFill>
            <w14:solidFill>
              <w14:schemeClr w14:val="tx1"/>
            </w14:solidFill>
          </w14:textFill>
        </w:rPr>
      </w:pPr>
      <w:r>
        <w:rPr>
          <w:color w:val="000000" w:themeColor="text1"/>
          <w14:textFill>
            <w14:solidFill>
              <w14:schemeClr w14:val="tx1"/>
            </w14:solidFill>
          </w14:textFill>
        </w:rPr>
        <w:t>2</w:t>
      </w:r>
      <w:r>
        <w:rPr>
          <w:rFonts w:ascii="宋体" w:hAnsi="宋体"/>
          <w:color w:val="000000" w:themeColor="text1"/>
          <w14:textFill>
            <w14:solidFill>
              <w14:schemeClr w14:val="tx1"/>
            </w14:solidFill>
          </w14:textFill>
        </w:rPr>
        <w:t>）运输</w:t>
      </w:r>
    </w:p>
    <w:p>
      <w:pPr>
        <w:adjustRightInd w:val="0"/>
        <w:snapToGrid w:val="0"/>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运输条件详见专用部分。</w:t>
      </w:r>
    </w:p>
    <w:p>
      <w:pPr>
        <w:adjustRightInd w:val="0"/>
        <w:snapToGrid w:val="0"/>
        <w:spacing w:line="360" w:lineRule="auto"/>
        <w:ind w:firstLine="420" w:firstLineChars="200"/>
        <w:rPr>
          <w:rFonts w:ascii="宋体" w:hAnsi="宋体"/>
          <w:color w:val="000000" w:themeColor="text1"/>
          <w14:textFill>
            <w14:solidFill>
              <w14:schemeClr w14:val="tx1"/>
            </w14:solidFill>
          </w14:textFill>
        </w:rPr>
      </w:pPr>
      <w:r>
        <w:rPr>
          <w:color w:val="000000" w:themeColor="text1"/>
          <w14:textFill>
            <w14:solidFill>
              <w14:schemeClr w14:val="tx1"/>
            </w14:solidFill>
          </w14:textFill>
        </w:rPr>
        <w:t>3</w:t>
      </w:r>
      <w:r>
        <w:rPr>
          <w:rFonts w:ascii="宋体" w:hAnsi="宋体"/>
          <w:color w:val="000000" w:themeColor="text1"/>
          <w14:textFill>
            <w14:solidFill>
              <w14:schemeClr w14:val="tx1"/>
            </w14:solidFill>
          </w14:textFill>
        </w:rPr>
        <w:t>）现场安装和试验在供应商的技术指导</w:t>
      </w:r>
      <w:r>
        <w:rPr>
          <w:rFonts w:hint="eastAsia" w:ascii="宋体" w:hAnsi="宋体"/>
          <w:color w:val="000000" w:themeColor="text1"/>
          <w14:textFill>
            <w14:solidFill>
              <w14:schemeClr w14:val="tx1"/>
            </w14:solidFill>
          </w14:textFill>
        </w:rPr>
        <w:t>或</w:t>
      </w:r>
      <w:r>
        <w:rPr>
          <w:rFonts w:ascii="宋体" w:hAnsi="宋体"/>
          <w:color w:val="000000" w:themeColor="text1"/>
          <w14:textFill>
            <w14:solidFill>
              <w14:schemeClr w14:val="tx1"/>
            </w14:solidFill>
          </w14:textFill>
        </w:rPr>
        <w:t>监督下由招标方完成。</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本规范书未说明</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但又与设计、制造、装配、试验、运输、包装、保管、安装和运行维护有关的技术要求</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按条款3所规定的有关标准执行。</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7" w:name="_Toc22389997"/>
      <w:bookmarkStart w:id="18" w:name="_Toc384340979"/>
      <w:r>
        <w:rPr>
          <w:rFonts w:ascii="黑体" w:hAnsi="黑体"/>
          <w:color w:val="000000" w:themeColor="text1"/>
          <w14:textFill>
            <w14:solidFill>
              <w14:schemeClr w14:val="tx1"/>
            </w14:solidFill>
          </w14:textFill>
        </w:rPr>
        <w:t>2.</w:t>
      </w:r>
      <w:r>
        <w:rPr>
          <w:rFonts w:hint="eastAsia" w:ascii="黑体" w:hAnsi="黑体"/>
          <w:color w:val="000000" w:themeColor="text1"/>
          <w14:textFill>
            <w14:solidFill>
              <w14:schemeClr w14:val="tx1"/>
            </w14:solidFill>
          </w14:textFill>
        </w:rPr>
        <w:t>3</w:t>
      </w:r>
      <w:r>
        <w:rPr>
          <w:rFonts w:ascii="黑体" w:hAnsi="黑体"/>
          <w:color w:val="000000" w:themeColor="text1"/>
          <w14:textFill>
            <w14:solidFill>
              <w14:schemeClr w14:val="tx1"/>
            </w14:solidFill>
          </w14:textFill>
        </w:rPr>
        <w:t xml:space="preserve"> 服务范围</w:t>
      </w:r>
      <w:bookmarkEnd w:id="17"/>
      <w:bookmarkEnd w:id="18"/>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1</w:t>
      </w:r>
      <w:r>
        <w:rPr>
          <w:rFonts w:ascii="宋体" w:hAnsi="宋体"/>
          <w:color w:val="000000" w:themeColor="text1"/>
          <w14:textFill>
            <w14:solidFill>
              <w14:schemeClr w14:val="tx1"/>
            </w14:solidFill>
          </w14:textFill>
        </w:rPr>
        <w:t>）供应商应按本规范书的要求提供全新的、合格的</w:t>
      </w:r>
      <w:r>
        <w:rPr>
          <w:rFonts w:hint="eastAsia"/>
          <w:color w:val="000000" w:themeColor="text1"/>
          <w14:textFill>
            <w14:solidFill>
              <w14:schemeClr w14:val="tx1"/>
            </w14:solidFill>
          </w14:textFill>
        </w:rPr>
        <w:t>油浸电容式电压互感器</w:t>
      </w:r>
      <w:r>
        <w:rPr>
          <w:rFonts w:ascii="宋体" w:hAnsi="宋体"/>
          <w:color w:val="000000" w:themeColor="text1"/>
          <w14:textFill>
            <w14:solidFill>
              <w14:schemeClr w14:val="tx1"/>
            </w14:solidFill>
          </w14:textFill>
        </w:rPr>
        <w:t>及其附属设备、备品备件、专用工具和仪器。</w:t>
      </w:r>
      <w:r>
        <w:rPr>
          <w:color w:val="000000" w:themeColor="text1"/>
          <w14:textFill>
            <w14:solidFill>
              <w14:schemeClr w14:val="tx1"/>
            </w14:solidFill>
          </w14:textFill>
        </w:rPr>
        <w:t>供应商所提供的组件或附件如需向第三方外购时</w:t>
      </w:r>
      <w:r>
        <w:rPr>
          <w:rFonts w:hint="eastAsia"/>
          <w:color w:val="000000" w:themeColor="text1"/>
          <w14:textFill>
            <w14:solidFill>
              <w14:schemeClr w14:val="tx1"/>
            </w14:solidFill>
          </w14:textFill>
        </w:rPr>
        <w:t>，供应商</w:t>
      </w:r>
      <w:r>
        <w:rPr>
          <w:color w:val="000000" w:themeColor="text1"/>
          <w14:textFill>
            <w14:solidFill>
              <w14:schemeClr w14:val="tx1"/>
            </w14:solidFill>
          </w14:textFill>
        </w:rPr>
        <w:t>应对质量向招标方负责</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并提供相应出厂和验收证明。</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2）供货范围</w:t>
      </w:r>
      <w:bookmarkStart w:id="19" w:name="_Toc282433715"/>
      <w:bookmarkStart w:id="20" w:name="_Toc283142589"/>
      <w:bookmarkStart w:id="21" w:name="_Toc283011667"/>
      <w:r>
        <w:rPr>
          <w:rFonts w:hint="eastAsia"/>
          <w:color w:val="000000" w:themeColor="text1"/>
          <w14:textFill>
            <w14:solidFill>
              <w14:schemeClr w14:val="tx1"/>
            </w14:solidFill>
          </w14:textFill>
        </w:rPr>
        <w:t>一览表</w:t>
      </w:r>
      <w:bookmarkEnd w:id="19"/>
      <w:bookmarkEnd w:id="20"/>
      <w:bookmarkEnd w:id="21"/>
    </w:p>
    <w:p>
      <w:pPr>
        <w:adjustRightInd w:val="0"/>
        <w:snapToGrid w:val="0"/>
        <w:spacing w:before="120" w:beforeLines="50"/>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供货范围包括</w:t>
      </w:r>
      <w:r>
        <w:rPr>
          <w:rFonts w:hint="eastAsia"/>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a.</w:t>
      </w:r>
      <w:r>
        <w:rPr>
          <w:rFonts w:hint="eastAsia"/>
          <w:color w:val="000000" w:themeColor="text1"/>
          <w14:textFill>
            <w14:solidFill>
              <w14:schemeClr w14:val="tx1"/>
            </w14:solidFill>
          </w14:textFill>
        </w:rPr>
        <w:t>电容分压器</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b.</w:t>
      </w:r>
      <w:r>
        <w:rPr>
          <w:rFonts w:hint="eastAsia"/>
          <w:color w:val="000000" w:themeColor="text1"/>
          <w14:textFill>
            <w14:solidFill>
              <w14:schemeClr w14:val="tx1"/>
            </w14:solidFill>
          </w14:textFill>
        </w:rPr>
        <w:t>电磁单元</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c.</w:t>
      </w:r>
      <w:r>
        <w:rPr>
          <w:rFonts w:hint="eastAsia"/>
          <w:color w:val="000000" w:themeColor="text1"/>
          <w14:textFill>
            <w14:solidFill>
              <w14:schemeClr w14:val="tx1"/>
            </w14:solidFill>
          </w14:textFill>
        </w:rPr>
        <w:t>一次侧</w:t>
      </w:r>
      <w:r>
        <w:rPr>
          <w:rFonts w:hAnsi="宋体"/>
          <w:color w:val="000000" w:themeColor="text1"/>
          <w14:textFill>
            <w14:solidFill>
              <w14:schemeClr w14:val="tx1"/>
            </w14:solidFill>
          </w14:textFill>
        </w:rPr>
        <w:t>(线路)</w:t>
      </w:r>
      <w:r>
        <w:rPr>
          <w:rFonts w:hint="eastAsia"/>
          <w:color w:val="000000" w:themeColor="text1"/>
          <w14:textFill>
            <w14:solidFill>
              <w14:schemeClr w14:val="tx1"/>
            </w14:solidFill>
          </w14:textFill>
        </w:rPr>
        <w:t>、二次侧引出线及接线端子</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d.</w:t>
      </w:r>
      <w:r>
        <w:rPr>
          <w:rFonts w:hint="eastAsia"/>
          <w:color w:val="000000" w:themeColor="text1"/>
          <w14:textFill>
            <w14:solidFill>
              <w14:schemeClr w14:val="tx1"/>
            </w14:solidFill>
          </w14:textFill>
        </w:rPr>
        <w:t>接地端子</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e.</w:t>
      </w:r>
      <w:r>
        <w:rPr>
          <w:rFonts w:hint="eastAsia"/>
          <w:color w:val="000000" w:themeColor="text1"/>
          <w14:textFill>
            <w14:solidFill>
              <w14:schemeClr w14:val="tx1"/>
            </w14:solidFill>
          </w14:textFill>
        </w:rPr>
        <w:t>均压环(相关要求详见专用条款)</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f</w:t>
      </w:r>
      <w:r>
        <w:rPr>
          <w:color w:val="000000" w:themeColor="text1"/>
          <w14:textFill>
            <w14:solidFill>
              <w14:schemeClr w14:val="tx1"/>
            </w14:solidFill>
          </w14:textFill>
        </w:rPr>
        <w:t>.备品备件及专用工具等</w:t>
      </w:r>
      <w:r>
        <w:rPr>
          <w:rFonts w:hint="eastAsia"/>
          <w:color w:val="000000" w:themeColor="text1"/>
          <w14:textFill>
            <w14:solidFill>
              <w14:schemeClr w14:val="tx1"/>
            </w14:solidFill>
          </w14:textFill>
        </w:rPr>
        <w:t>详见专用条款</w:t>
      </w:r>
    </w:p>
    <w:p>
      <w:pPr>
        <w:pStyle w:val="118"/>
        <w:adjustRightInd w:val="0"/>
        <w:snapToGrid w:val="0"/>
        <w:spacing w:line="240" w:lineRule="auto"/>
        <w:rPr>
          <w:rFonts w:ascii="宋体" w:hAnsi="宋体" w:eastAsia="宋体"/>
          <w:color w:val="000000" w:themeColor="text1"/>
          <w14:textFill>
            <w14:solidFill>
              <w14:schemeClr w14:val="tx1"/>
            </w14:solidFill>
          </w14:textFill>
        </w:rPr>
      </w:pPr>
      <w:r>
        <w:rPr>
          <w:rFonts w:hint="eastAsia" w:ascii="宋体" w:hAnsi="宋体" w:eastAsia="宋体"/>
          <w:color w:val="000000" w:themeColor="text1"/>
          <w14:textFill>
            <w14:solidFill>
              <w14:schemeClr w14:val="tx1"/>
            </w14:solidFill>
          </w14:textFill>
        </w:rPr>
        <w:t>供货设备技术规格一览表详见专用部分。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3）工厂试验由供应商在生产厂家内完成，但应有招标方代表参加，参加工厂验收的人数及天数等规定详见规范书商务部分。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现场安装和试验在供应商的技术指导下由招标方完成，供应商协助招标方按标准检查安装质量，处理调试投运过程中出现的问题，并提供备品、备件，做好销售服务工作.供应商应选派有经验的技术人员，对安装和运行人员免费培训。安装督导的工作范围及人数和天数等规定详见规范书商务部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5）供应商应协助招标方解决设备运行中出现的问题。</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6）设计联络会议的地点及招标方参加人员的人数和天数等规定详见规范书商务部分。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7）设备安装、调试和性能试验合格后方可投运。设备投运并稳定运行后，供应商和招标方（业主）双方应根据相关法律、法规和公司管理制度签署合同设备的验收证明书。该证明书共两份，双方各执一份。</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8）如果安装、调试、性能试验、试运行及质保期内技术指标一项或多项不能满足合同技术部分要求，买卖双方共同分析原因，分清责任，如属制造方面的原因，或涉及索赔部分，按商务部分有关条款执行。</w:t>
      </w:r>
    </w:p>
    <w:bookmarkEnd w:id="11"/>
    <w:bookmarkEnd w:id="12"/>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22" w:name="_Toc22389998"/>
      <w:bookmarkStart w:id="23" w:name="_Toc384340980"/>
      <w:r>
        <w:rPr>
          <w:rFonts w:hint="eastAsia" w:ascii="黑体" w:hAnsi="黑体" w:eastAsia="黑体"/>
          <w:b/>
          <w:color w:val="000000" w:themeColor="text1"/>
          <w:sz w:val="21"/>
          <w:szCs w:val="21"/>
          <w14:textFill>
            <w14:solidFill>
              <w14:schemeClr w14:val="tx1"/>
            </w14:solidFill>
          </w14:textFill>
        </w:rPr>
        <w:t>3 应遵循的主要标准</w:t>
      </w:r>
      <w:bookmarkEnd w:id="22"/>
      <w:bookmarkEnd w:id="23"/>
    </w:p>
    <w:p>
      <w:pPr>
        <w:adjustRightInd w:val="0"/>
        <w:snapToGrid w:val="0"/>
        <w:spacing w:line="360" w:lineRule="auto"/>
        <w:ind w:firstLine="420" w:firstLineChars="200"/>
        <w:rPr>
          <w:color w:val="000000" w:themeColor="text1"/>
          <w14:textFill>
            <w14:solidFill>
              <w14:schemeClr w14:val="tx1"/>
            </w14:solidFill>
          </w14:textFill>
        </w:rPr>
      </w:pPr>
      <w:bookmarkStart w:id="24" w:name="_Toc457986926"/>
      <w:bookmarkStart w:id="25" w:name="_Toc457979127"/>
      <w:bookmarkStart w:id="26" w:name="_Toc459534976"/>
      <w:bookmarkStart w:id="27" w:name="_Toc448828694"/>
      <w:bookmarkStart w:id="28" w:name="_Toc114253693"/>
      <w:bookmarkStart w:id="29" w:name="_Toc455373921"/>
      <w:bookmarkStart w:id="30" w:name="_Toc482581219"/>
      <w:bookmarkStart w:id="31" w:name="_Toc146182538"/>
      <w:bookmarkStart w:id="32" w:name="_Toc455543289"/>
      <w:bookmarkStart w:id="33" w:name="_Toc241912000"/>
      <w:bookmarkStart w:id="34" w:name="_Toc155114612"/>
      <w:r>
        <w:rPr>
          <w:color w:val="000000" w:themeColor="text1"/>
          <w14:textFill>
            <w14:solidFill>
              <w14:schemeClr w14:val="tx1"/>
            </w14:solidFill>
          </w14:textFill>
        </w:rPr>
        <w:t>除本规范书特殊规定外</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供应商所提供的设备均按规定的标准和规程的最新版本进行设计、制造、试验和安装。如果这些标准内容有矛盾时</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应按最高标准的条款执行或按双方商定的标准执行。如果供应商选用本规范书规定以外的标准时</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则需提交这种替换标准供审查和分析。仅在供应商已证明替换标准相当或优于规范书规定的标准</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并从招标方处获得书面的认可才能使用。提交供审查的标准应为中文或英文版本。</w:t>
      </w:r>
      <w:r>
        <w:rPr>
          <w:rFonts w:hint="eastAsia"/>
          <w:color w:val="000000" w:themeColor="text1"/>
          <w14:textFill>
            <w14:solidFill>
              <w14:schemeClr w14:val="tx1"/>
            </w14:solidFill>
          </w14:textFill>
        </w:rPr>
        <w:t>主要引用标准如下：</w:t>
      </w:r>
    </w:p>
    <w:p>
      <w:pPr>
        <w:adjustRightInd w:val="0"/>
        <w:snapToGrid w:val="0"/>
        <w:spacing w:line="360" w:lineRule="auto"/>
        <w:ind w:firstLine="420" w:firstLineChars="200"/>
        <w:rPr>
          <w:rFonts w:hint="eastAsia" w:ascii="Times New Roman" w:hAnsi="Times New Roman" w:eastAsia="宋体" w:cs="Times New Roman"/>
          <w:color w:val="000000" w:themeColor="text1"/>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GB/T 13540      高压开关设备和控制设备的抗震要求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w:t>
      </w:r>
      <w:r>
        <w:rPr>
          <w:color w:val="000000" w:themeColor="text1"/>
          <w14:textFill>
            <w14:solidFill>
              <w14:schemeClr w14:val="tx1"/>
            </w14:solidFill>
          </w14:textFill>
        </w:rPr>
        <w:t>/T</w:t>
      </w:r>
      <w:r>
        <w:rPr>
          <w:rFonts w:hint="eastAsia"/>
          <w:color w:val="000000" w:themeColor="text1"/>
          <w14:textFill>
            <w14:solidFill>
              <w14:schemeClr w14:val="tx1"/>
            </w14:solidFill>
          </w14:textFill>
        </w:rPr>
        <w:t xml:space="preserve"> 311.1       绝缘配合第1部分：定义、原则和规则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311.2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绝缘配合第2部分：使用导则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507         绝缘油击穿电压测定法</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985.1       气焊、焊条电弧焊、气体保护焊和高能束焊的推荐坡口</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1231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钢结构用高强度大六角头螺栓、大六角螺母、垫圈技术条件</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1766-       色漆和清漆涂层老化的评级方法</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GB</w:t>
      </w:r>
      <w:r>
        <w:rPr>
          <w:rFonts w:hint="eastAsia"/>
          <w:color w:val="000000" w:themeColor="text1"/>
          <w14:textFill>
            <w14:solidFill>
              <w14:schemeClr w14:val="tx1"/>
            </w14:solidFill>
          </w14:textFill>
        </w:rPr>
        <w:t xml:space="preserve">/T </w:t>
      </w:r>
      <w:r>
        <w:rPr>
          <w:color w:val="000000" w:themeColor="text1"/>
          <w14:textFill>
            <w14:solidFill>
              <w14:schemeClr w14:val="tx1"/>
            </w14:solidFill>
          </w14:textFill>
        </w:rPr>
        <w:t xml:space="preserve">2536        </w:t>
      </w:r>
      <w:r>
        <w:rPr>
          <w:rFonts w:hint="eastAsia"/>
          <w:color w:val="000000" w:themeColor="text1"/>
          <w14:textFill>
            <w14:solidFill>
              <w14:schemeClr w14:val="tx1"/>
            </w14:solidFill>
          </w14:textFill>
        </w:rPr>
        <w:t>变压器和开关用的未使用过的矿物绝缘油</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4109        交流电压高于1000V绝缘套管</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GB/T5654         液体绝缘材料相对相容率、介质损耗因数和直流电阻率的测量</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7095.2       漆包铜扁绕组线第2部分：120级缩醛漆包铜扁线</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GB/T7600         运行中变压器油和汽轮机油中水分含量测定法（库伦法）</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GB/T7762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 xml:space="preserve"> 硫化橡胶或热塑性橡胶耐臭氧龟裂静态拉伸试验</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GB /T7759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硫化橡胶、热塑性橡胶常温高温低温永久性变形的测定</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2900.94</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电工术语</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互感器</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2900.16   </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电工术语电力电容器</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5273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 xml:space="preserve"> 变压器、高压电器和套管的接线端子</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9286         色漆和清漆漆膜的划格试验</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w:t>
      </w:r>
      <w:r>
        <w:rPr>
          <w:color w:val="000000" w:themeColor="text1"/>
          <w14:textFill>
            <w14:solidFill>
              <w14:schemeClr w14:val="tx1"/>
            </w14:solidFill>
          </w14:textFill>
        </w:rPr>
        <w:t xml:space="preserve">/T </w:t>
      </w:r>
      <w:r>
        <w:rPr>
          <w:rFonts w:hint="eastAsia"/>
          <w:color w:val="000000" w:themeColor="text1"/>
          <w14:textFill>
            <w14:solidFill>
              <w14:schemeClr w14:val="tx1"/>
            </w14:solidFill>
          </w14:textFill>
        </w:rPr>
        <w:t>11032</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交流无间隙金属氧化物避雷器</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GB/T11604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 xml:space="preserve"> 高压电气设备无线电干扰测试方法</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12913    </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 xml:space="preserve"> 电容器纸</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13542.3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电气绝缘用薄膜第3部分：电容器用双轴定向聚丙烯薄膜</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16927.1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高电压试验技术第1部分：一般定义及试验要求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16927.2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高电压试验技术第2部分：测量系统</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17742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中国地震烈度表</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GB/T19749.1      耦合电容器</w:t>
      </w:r>
      <w:r>
        <w:rPr>
          <w:rFonts w:hint="eastAsia"/>
          <w:color w:val="000000" w:themeColor="text1"/>
          <w14:textFill>
            <w14:solidFill>
              <w14:schemeClr w14:val="tx1"/>
            </w14:solidFill>
          </w14:textFill>
        </w:rPr>
        <w:t>及</w:t>
      </w:r>
      <w:r>
        <w:rPr>
          <w:color w:val="000000" w:themeColor="text1"/>
          <w14:textFill>
            <w14:solidFill>
              <w14:schemeClr w14:val="tx1"/>
            </w14:solidFill>
          </w14:textFill>
        </w:rPr>
        <w:t>电容分压器</w:t>
      </w:r>
      <w:r>
        <w:rPr>
          <w:rFonts w:hint="eastAsia"/>
          <w:color w:val="000000" w:themeColor="text1"/>
          <w14:textFill>
            <w14:solidFill>
              <w14:schemeClr w14:val="tx1"/>
            </w14:solidFill>
          </w14:textFill>
        </w:rPr>
        <w:t>第</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部分：总则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w:t>
      </w:r>
      <w:r>
        <w:rPr>
          <w:color w:val="000000" w:themeColor="text1"/>
          <w14:textFill>
            <w14:solidFill>
              <w14:schemeClr w14:val="tx1"/>
            </w14:solidFill>
          </w14:textFill>
        </w:rPr>
        <w:t>/T</w:t>
      </w:r>
      <w:r>
        <w:rPr>
          <w:rFonts w:hint="eastAsia"/>
          <w:color w:val="000000" w:themeColor="text1"/>
          <w14:textFill>
            <w14:solidFill>
              <w14:schemeClr w14:val="tx1"/>
            </w14:solidFill>
          </w14:textFill>
        </w:rPr>
        <w:t xml:space="preserve"> 20840.1     互感器第1部分：通用技术要求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GB/T 20840.5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互感器第5部分电容式电压互感器的补充技术要求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21221-       绝缘液体以合成芳烃为基的未使用过的绝缘液体</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22642       电子、电力电容器用铝箔</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w:t>
      </w:r>
      <w:r>
        <w:rPr>
          <w:color w:val="000000" w:themeColor="text1"/>
          <w14:textFill>
            <w14:solidFill>
              <w14:schemeClr w14:val="tx1"/>
            </w14:solidFill>
          </w14:textFill>
        </w:rPr>
        <w:t xml:space="preserve">/T </w:t>
      </w:r>
      <w:r>
        <w:rPr>
          <w:rFonts w:hint="eastAsia"/>
          <w:color w:val="000000" w:themeColor="text1"/>
          <w14:textFill>
            <w14:solidFill>
              <w14:schemeClr w14:val="tx1"/>
            </w14:solidFill>
          </w14:textFill>
        </w:rPr>
        <w:t>26164.1       电业安全工作规程第1部分：热力和机械</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26218.1     污秽条件下使用的高压绝缘子的选择和尺寸确定第1部</w:t>
      </w:r>
    </w:p>
    <w:p>
      <w:pPr>
        <w:adjustRightInd w:val="0"/>
        <w:snapToGrid w:val="0"/>
        <w:spacing w:line="360" w:lineRule="auto"/>
        <w:ind w:firstLine="2625" w:firstLineChars="1250"/>
        <w:rPr>
          <w:color w:val="000000" w:themeColor="text1"/>
          <w14:textFill>
            <w14:solidFill>
              <w14:schemeClr w14:val="tx1"/>
            </w14:solidFill>
          </w14:textFill>
        </w:rPr>
      </w:pPr>
      <w:r>
        <w:rPr>
          <w:rFonts w:hint="eastAsia"/>
          <w:color w:val="000000" w:themeColor="text1"/>
          <w14:textFill>
            <w14:solidFill>
              <w14:schemeClr w14:val="tx1"/>
            </w14:solidFill>
          </w14:textFill>
        </w:rPr>
        <w:t>分：定义、信息和一般原则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GB/T 26218.2     污秽条件下使用的高压绝缘子的选择和尺寸确定第2部</w:t>
      </w:r>
    </w:p>
    <w:p>
      <w:pPr>
        <w:adjustRightInd w:val="0"/>
        <w:snapToGrid w:val="0"/>
        <w:spacing w:line="360" w:lineRule="auto"/>
        <w:ind w:firstLine="2625" w:firstLineChars="1250"/>
        <w:rPr>
          <w:color w:val="000000" w:themeColor="text1"/>
          <w14:textFill>
            <w14:solidFill>
              <w14:schemeClr w14:val="tx1"/>
            </w14:solidFill>
          </w14:textFill>
        </w:rPr>
      </w:pPr>
      <w:r>
        <w:rPr>
          <w:rFonts w:hint="eastAsia"/>
          <w:color w:val="000000" w:themeColor="text1"/>
          <w14:textFill>
            <w14:solidFill>
              <w14:schemeClr w14:val="tx1"/>
            </w14:solidFill>
          </w14:textFill>
        </w:rPr>
        <w:t>分：交流系统用瓷和玻璃绝缘子</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GB 50150     </w:t>
      </w:r>
      <w:r>
        <w:rPr>
          <w:rFonts w:hint="eastAsia"/>
          <w:color w:val="000000" w:themeColor="text1"/>
          <w14:textFill>
            <w14:solidFill>
              <w14:schemeClr w14:val="tx1"/>
            </w14:solidFill>
          </w14:textFill>
        </w:rPr>
        <w:t>电气装置安装工程电气设备交接试验标准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586      电力设备用户监造技术导则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620      交流电气装置的过电压保护和绝缘配合</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664       带电设备红外诊断应用规范</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866       电流互感器和电压互感器选择及计算导则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1071      电力大件运输规范</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 1251      电力用电容式电压互感器使用技术规范</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DL/T5222       导体和电器选择设计技术规定</w:t>
      </w:r>
    </w:p>
    <w:p>
      <w:pPr>
        <w:adjustRightInd w:val="0"/>
        <w:snapToGrid w:val="0"/>
        <w:spacing w:line="360" w:lineRule="auto"/>
        <w:ind w:firstLine="420" w:firstLineChars="200"/>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DL/T 596       电力设备预防性试验规程</w:t>
      </w:r>
    </w:p>
    <w:p>
      <w:pPr>
        <w:adjustRightInd w:val="0"/>
        <w:snapToGrid w:val="0"/>
        <w:spacing w:line="360" w:lineRule="auto"/>
        <w:ind w:firstLine="420" w:firstLineChars="200"/>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DL/T 722       变压器油中溶解气体分析和判断导则</w:t>
      </w:r>
    </w:p>
    <w:p>
      <w:pPr>
        <w:adjustRightInd w:val="0"/>
        <w:snapToGrid w:val="0"/>
        <w:spacing w:line="360" w:lineRule="auto"/>
        <w:ind w:firstLine="420" w:firstLineChars="200"/>
        <w:rPr>
          <w:rFonts w:hint="eastAsia" w:ascii="Times New Roman" w:hAnsi="Times New Roman" w:eastAsia="宋体" w:cs="Times New Roman"/>
          <w:color w:val="000000" w:themeColor="text1"/>
          <w:lang w:val="en-US" w:eastAsia="zh-CN"/>
          <w14:textFill>
            <w14:solidFill>
              <w14:schemeClr w14:val="tx1"/>
            </w14:solidFill>
          </w14:textFill>
        </w:rPr>
      </w:pPr>
      <w:r>
        <w:rPr>
          <w:rFonts w:hint="eastAsia" w:ascii="Times New Roman" w:hAnsi="Times New Roman" w:eastAsia="宋体" w:cs="Times New Roman"/>
          <w:color w:val="000000" w:themeColor="text1"/>
          <w:lang w:val="en-US" w:eastAsia="zh-CN"/>
          <w14:textFill>
            <w14:solidFill>
              <w14:schemeClr w14:val="tx1"/>
            </w14:solidFill>
          </w14:textFill>
        </w:rPr>
        <w:t xml:space="preserve">DL/T 726 </w:t>
      </w:r>
      <w:r>
        <w:rPr>
          <w:rFonts w:hint="eastAsia" w:cs="Times New Roman"/>
          <w:color w:val="000000" w:themeColor="text1"/>
          <w:lang w:val="en-US" w:eastAsia="zh-CN"/>
          <w14:textFill>
            <w14:solidFill>
              <w14:schemeClr w14:val="tx1"/>
            </w14:solidFill>
          </w14:textFill>
        </w:rPr>
        <w:t xml:space="preserve">      </w:t>
      </w:r>
      <w:r>
        <w:rPr>
          <w:rFonts w:hint="eastAsia" w:ascii="Times New Roman" w:hAnsi="Times New Roman" w:eastAsia="宋体" w:cs="Times New Roman"/>
          <w:color w:val="000000" w:themeColor="text1"/>
          <w:lang w:val="en-US" w:eastAsia="zh-CN"/>
          <w14:textFill>
            <w14:solidFill>
              <w14:schemeClr w14:val="tx1"/>
            </w14:solidFill>
          </w14:textFill>
        </w:rPr>
        <w:t>电力用电磁式电压互感器使用技术规范</w:t>
      </w:r>
    </w:p>
    <w:p>
      <w:pPr>
        <w:adjustRightInd w:val="0"/>
        <w:snapToGrid w:val="0"/>
        <w:spacing w:line="360" w:lineRule="auto"/>
        <w:ind w:firstLine="420" w:firstLineChars="200"/>
        <w:rPr>
          <w:rFonts w:hint="default" w:eastAsia="宋体"/>
          <w:color w:val="000000" w:themeColor="text1"/>
          <w:lang w:val="en-US" w:eastAsia="zh-CN"/>
          <w14:textFill>
            <w14:solidFill>
              <w14:schemeClr w14:val="tx1"/>
            </w14:solidFill>
          </w14:textFill>
        </w:rPr>
      </w:pPr>
      <w:r>
        <w:rPr>
          <w:rFonts w:hint="eastAsia"/>
          <w:color w:val="000000" w:themeColor="text1"/>
          <w14:textFill>
            <w14:solidFill>
              <w14:schemeClr w14:val="tx1"/>
            </w14:solidFill>
          </w14:textFill>
        </w:rPr>
        <w:t xml:space="preserve">DL/T 866 </w:t>
      </w:r>
      <w:r>
        <w:rPr>
          <w:rFonts w:hint="eastAsia"/>
          <w:color w:val="000000" w:themeColor="text1"/>
          <w:lang w:val="en-US" w:eastAsia="zh-CN"/>
          <w14:textFill>
            <w14:solidFill>
              <w14:schemeClr w14:val="tx1"/>
            </w14:solidFill>
          </w14:textFill>
        </w:rPr>
        <w:t xml:space="preserve">      电流互感器和电压互感器选择及计算规程</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JB/T 7068-      互感器用金属膨胀器</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JB/T 8448.1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变压器类产品用密封制品技术条件 第一部分:橡胶密封制品</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Q/CSG10001  </w:t>
      </w:r>
      <w:r>
        <w:rPr>
          <w:rFonts w:hint="eastAsia"/>
          <w:color w:val="000000" w:themeColor="text1"/>
          <w:lang w:val="en-US" w:eastAsia="zh-CN"/>
          <w14:textFill>
            <w14:solidFill>
              <w14:schemeClr w14:val="tx1"/>
            </w14:solidFill>
          </w14:textFill>
        </w:rPr>
        <w:t xml:space="preserve">  </w:t>
      </w:r>
      <w:r>
        <w:rPr>
          <w:color w:val="000000" w:themeColor="text1"/>
          <w14:textFill>
            <w14:solidFill>
              <w14:schemeClr w14:val="tx1"/>
            </w14:solidFill>
          </w14:textFill>
        </w:rPr>
        <w:t>变电站安健环设施标准</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Q/CSG 10011   </w:t>
      </w: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35</w:t>
      </w:r>
      <w:r>
        <w:rPr>
          <w:color w:val="000000" w:themeColor="text1"/>
          <w14:textFill>
            <w14:solidFill>
              <w14:schemeClr w14:val="tx1"/>
            </w14:solidFill>
          </w14:textFill>
        </w:rPr>
        <w:t>kV～500kV</w:t>
      </w:r>
      <w:r>
        <w:rPr>
          <w:rFonts w:hint="eastAsia"/>
          <w:color w:val="000000" w:themeColor="text1"/>
          <w14:textFill>
            <w14:solidFill>
              <w14:schemeClr w14:val="tx1"/>
            </w14:solidFill>
          </w14:textFill>
        </w:rPr>
        <w:t>变电站装备技术</w:t>
      </w:r>
      <w:r>
        <w:rPr>
          <w:color w:val="000000" w:themeColor="text1"/>
          <w14:textFill>
            <w14:solidFill>
              <w14:schemeClr w14:val="tx1"/>
            </w14:solidFill>
          </w14:textFill>
        </w:rPr>
        <w:t>导则</w:t>
      </w:r>
      <w:r>
        <w:rPr>
          <w:rFonts w:hint="eastAsia"/>
          <w:color w:val="000000" w:themeColor="text1"/>
          <w14:textFill>
            <w14:solidFill>
              <w14:schemeClr w14:val="tx1"/>
            </w14:solidFill>
          </w14:textFill>
        </w:rPr>
        <w:t>（变电一次分册）</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Q/CSG1206007  </w:t>
      </w:r>
      <w:r>
        <w:rPr>
          <w:rFonts w:hint="eastAsia"/>
          <w:color w:val="000000" w:themeColor="text1"/>
          <w14:textFill>
            <w14:solidFill>
              <w14:schemeClr w14:val="tx1"/>
            </w14:solidFill>
          </w14:textFill>
        </w:rPr>
        <w:t>电力设备检修试验规程</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ISO 12944（1-8）色漆和清漆-防护漆体系对钢结构的防腐蚀保护</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ISO 2808-2007   漆膜厚度测定法</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ISO 8501        钢材喷涂前表面预处理</w:t>
      </w:r>
      <w:bookmarkStart w:id="35" w:name="_Toc384340981"/>
      <w:bookmarkStart w:id="36" w:name="_Toc282993250"/>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37" w:name="_Toc22389999"/>
      <w:r>
        <w:rPr>
          <w:rFonts w:hint="eastAsia" w:ascii="黑体" w:hAnsi="黑体" w:eastAsia="黑体"/>
          <w:b/>
          <w:color w:val="000000" w:themeColor="text1"/>
          <w:sz w:val="21"/>
          <w:szCs w:val="21"/>
          <w14:textFill>
            <w14:solidFill>
              <w14:schemeClr w14:val="tx1"/>
            </w14:solidFill>
          </w14:textFill>
        </w:rPr>
        <w:t>4使用条件</w:t>
      </w:r>
      <w:bookmarkEnd w:id="35"/>
      <w:bookmarkEnd w:id="36"/>
      <w:bookmarkEnd w:id="37"/>
    </w:p>
    <w:p>
      <w:pPr>
        <w:adjustRightInd w:val="0"/>
        <w:snapToGrid w:val="0"/>
        <w:spacing w:line="360" w:lineRule="auto"/>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本技术规范书要采购的110kV-500kV油浸电容式电压互感器，</w:t>
      </w:r>
      <w:r>
        <w:rPr>
          <w:rFonts w:hAnsi="宋体"/>
          <w:color w:val="000000" w:themeColor="text1"/>
          <w14:textFill>
            <w14:solidFill>
              <w14:schemeClr w14:val="tx1"/>
            </w14:solidFill>
          </w14:textFill>
        </w:rPr>
        <w:t>其安装地点的实际外部条件</w:t>
      </w:r>
      <w:r>
        <w:rPr>
          <w:rFonts w:hint="eastAsia" w:hAnsi="宋体"/>
          <w:color w:val="000000" w:themeColor="text1"/>
          <w14:textFill>
            <w14:solidFill>
              <w14:schemeClr w14:val="tx1"/>
            </w14:solidFill>
          </w14:textFill>
        </w:rPr>
        <w:t>详见专用部分</w:t>
      </w:r>
      <w:r>
        <w:rPr>
          <w:rFonts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供应商应对所提供的设备绝缘水平、温升等相关性能参数在工程实际外部条件下进行校验、核对，使所供设备满足实际外部条件要求及全工况运行要求。</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r>
        <w:rPr>
          <w:rFonts w:hint="eastAsia" w:ascii="黑体" w:hAnsi="黑体"/>
          <w:color w:val="000000" w:themeColor="text1"/>
          <w14:textFill>
            <w14:solidFill>
              <w14:schemeClr w14:val="tx1"/>
            </w14:solidFill>
          </w14:textFill>
        </w:rPr>
        <w:t>4.1正常使用条件</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4.1.1 海拔：</w:t>
      </w:r>
      <w:r>
        <w:rPr>
          <w:color w:val="000000" w:themeColor="text1"/>
          <w14:textFill>
            <w14:solidFill>
              <w14:schemeClr w14:val="tx1"/>
            </w14:solidFill>
          </w14:textFill>
        </w:rPr>
        <w:t>≤1000m</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4.1.2环境温度</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最高温度</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w:t>
      </w:r>
      <w:r>
        <w:rPr>
          <w:rFonts w:hint="eastAsia"/>
          <w:color w:val="000000" w:themeColor="text1"/>
          <w14:textFill>
            <w14:solidFill>
              <w14:schemeClr w14:val="tx1"/>
            </w14:solidFill>
          </w14:textFill>
        </w:rPr>
        <w:t>热月平均</w:t>
      </w:r>
      <w:r>
        <w:rPr>
          <w:color w:val="000000" w:themeColor="text1"/>
          <w14:textFill>
            <w14:solidFill>
              <w14:schemeClr w14:val="tx1"/>
            </w14:solidFill>
          </w14:textFill>
        </w:rPr>
        <w:t>温度</w:t>
      </w:r>
      <w:r>
        <w:rPr>
          <w:rFonts w:hint="eastAsia"/>
          <w:color w:val="000000" w:themeColor="text1"/>
          <w14:textFill>
            <w14:solidFill>
              <w14:schemeClr w14:val="tx1"/>
            </w14:solidFill>
          </w14:textFill>
        </w:rPr>
        <w:t>：+30</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最高</w:t>
      </w:r>
      <w:r>
        <w:rPr>
          <w:rFonts w:hint="eastAsia"/>
          <w:color w:val="000000" w:themeColor="text1"/>
          <w14:textFill>
            <w14:solidFill>
              <w14:schemeClr w14:val="tx1"/>
            </w14:solidFill>
          </w14:textFill>
        </w:rPr>
        <w:t>年</w:t>
      </w:r>
      <w:r>
        <w:rPr>
          <w:color w:val="000000" w:themeColor="text1"/>
          <w14:textFill>
            <w14:solidFill>
              <w14:schemeClr w14:val="tx1"/>
            </w14:solidFill>
          </w14:textFill>
        </w:rPr>
        <w:t>平均温度：</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w:t>
      </w:r>
      <w:r>
        <w:rPr>
          <w:rFonts w:hint="eastAsia"/>
          <w:color w:val="000000" w:themeColor="text1"/>
          <w14:textFill>
            <w14:solidFill>
              <w14:schemeClr w14:val="tx1"/>
            </w14:solidFill>
          </w14:textFill>
        </w:rPr>
        <w:t>低气温：-25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（户外）</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4.1.3太阳辐射强度：</w:t>
      </w:r>
      <w:r>
        <w:rPr>
          <w:color w:val="000000" w:themeColor="text1"/>
          <w14:textFill>
            <w14:solidFill>
              <w14:schemeClr w14:val="tx1"/>
            </w14:solidFill>
          </w14:textFill>
        </w:rPr>
        <w:t>0.1W/cm</w:t>
      </w:r>
      <w:r>
        <w:rPr>
          <w:color w:val="000000" w:themeColor="text1"/>
          <w:vertAlign w:val="superscript"/>
          <w14:textFill>
            <w14:solidFill>
              <w14:schemeClr w14:val="tx1"/>
            </w14:solidFill>
          </w14:textFill>
        </w:rPr>
        <w:t>2</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4.1.4</w:t>
      </w:r>
      <w:r>
        <w:rPr>
          <w:color w:val="000000" w:themeColor="text1"/>
          <w14:textFill>
            <w14:solidFill>
              <w14:schemeClr w14:val="tx1"/>
            </w14:solidFill>
          </w14:textFill>
        </w:rPr>
        <w:t>耐地震能力</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地震烈度8度：</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地面水平加速度</w:t>
      </w:r>
      <w:r>
        <w:rPr>
          <w:rFonts w:hint="eastAsia"/>
          <w:color w:val="000000" w:themeColor="text1"/>
          <w14:textFill>
            <w14:solidFill>
              <w14:schemeClr w14:val="tx1"/>
            </w14:solidFill>
          </w14:textFill>
        </w:rPr>
        <w:t>3m/s</w:t>
      </w:r>
      <w:r>
        <w:rPr>
          <w:rFonts w:hint="eastAsia"/>
          <w:color w:val="000000" w:themeColor="text1"/>
          <w:vertAlign w:val="superscript"/>
          <w14:textFill>
            <w14:solidFill>
              <w14:schemeClr w14:val="tx1"/>
            </w14:solidFill>
          </w14:textFill>
        </w:rPr>
        <w:t>2</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地面</w:t>
      </w:r>
      <w:r>
        <w:rPr>
          <w:rFonts w:hint="eastAsia"/>
          <w:color w:val="000000" w:themeColor="text1"/>
          <w14:textFill>
            <w14:solidFill>
              <w14:schemeClr w14:val="tx1"/>
            </w14:solidFill>
          </w14:textFill>
        </w:rPr>
        <w:t>垂直</w:t>
      </w:r>
      <w:r>
        <w:rPr>
          <w:color w:val="000000" w:themeColor="text1"/>
          <w14:textFill>
            <w14:solidFill>
              <w14:schemeClr w14:val="tx1"/>
            </w14:solidFill>
          </w14:textFill>
        </w:rPr>
        <w:t>加速度</w:t>
      </w:r>
      <w:r>
        <w:rPr>
          <w:rFonts w:hint="eastAsia"/>
          <w:color w:val="000000" w:themeColor="text1"/>
          <w14:textFill>
            <w14:solidFill>
              <w14:schemeClr w14:val="tx1"/>
            </w14:solidFill>
          </w14:textFill>
        </w:rPr>
        <w:t>1.5m/s</w:t>
      </w:r>
      <w:r>
        <w:rPr>
          <w:rFonts w:hint="eastAsia"/>
          <w:color w:val="000000" w:themeColor="text1"/>
          <w:vertAlign w:val="superscript"/>
          <w14:textFill>
            <w14:solidFill>
              <w14:schemeClr w14:val="tx1"/>
            </w14:solidFill>
          </w14:textFill>
        </w:rPr>
        <w:t>2</w:t>
      </w:r>
    </w:p>
    <w:p>
      <w:pPr>
        <w:adjustRightInd w:val="0"/>
        <w:snapToGrid w:val="0"/>
        <w:spacing w:line="360" w:lineRule="auto"/>
        <w:ind w:firstLine="418" w:firstLineChars="203"/>
        <w:rPr>
          <w:color w:val="000000" w:themeColor="text1"/>
          <w14:textFill>
            <w14:solidFill>
              <w14:schemeClr w14:val="tx1"/>
            </w14:solidFill>
          </w14:textFill>
        </w:rPr>
      </w:pPr>
      <w:r>
        <w:rPr>
          <w:rFonts w:hint="eastAsia"/>
          <w:color w:val="000000" w:themeColor="text1"/>
          <w:spacing w:val="-2"/>
          <w:szCs w:val="21"/>
          <w14:textFill>
            <w14:solidFill>
              <w14:schemeClr w14:val="tx1"/>
            </w14:solidFill>
          </w14:textFill>
        </w:rPr>
        <w:t>共振、正弦拍波试验法，激振</w:t>
      </w:r>
      <w:r>
        <w:rPr>
          <w:color w:val="000000" w:themeColor="text1"/>
          <w:spacing w:val="-2"/>
          <w:szCs w:val="21"/>
          <w14:textFill>
            <w14:solidFill>
              <w14:schemeClr w14:val="tx1"/>
            </w14:solidFill>
          </w14:textFill>
        </w:rPr>
        <w:t>5</w:t>
      </w:r>
      <w:r>
        <w:rPr>
          <w:rFonts w:hint="eastAsia"/>
          <w:color w:val="000000" w:themeColor="text1"/>
          <w:spacing w:val="-2"/>
          <w:szCs w:val="21"/>
          <w14:textFill>
            <w14:solidFill>
              <w14:schemeClr w14:val="tx1"/>
            </w14:solidFill>
          </w14:textFill>
        </w:rPr>
        <w:t>次，每次持续时间</w:t>
      </w:r>
      <w:r>
        <w:rPr>
          <w:color w:val="000000" w:themeColor="text1"/>
          <w:spacing w:val="-2"/>
          <w:szCs w:val="21"/>
          <w14:textFill>
            <w14:solidFill>
              <w14:schemeClr w14:val="tx1"/>
            </w14:solidFill>
          </w14:textFill>
        </w:rPr>
        <w:t>5</w:t>
      </w:r>
      <w:r>
        <w:rPr>
          <w:rFonts w:hint="eastAsia"/>
          <w:color w:val="000000" w:themeColor="text1"/>
          <w:spacing w:val="-2"/>
          <w:szCs w:val="21"/>
          <w14:textFill>
            <w14:solidFill>
              <w14:schemeClr w14:val="tx1"/>
            </w14:solidFill>
          </w14:textFill>
        </w:rPr>
        <w:t>个周波，各次间隔</w:t>
      </w:r>
      <w:r>
        <w:rPr>
          <w:color w:val="000000" w:themeColor="text1"/>
          <w:spacing w:val="-2"/>
          <w:szCs w:val="21"/>
          <w14:textFill>
            <w14:solidFill>
              <w14:schemeClr w14:val="tx1"/>
            </w14:solidFill>
          </w14:textFill>
        </w:rPr>
        <w:t>2s</w:t>
      </w:r>
      <w:r>
        <w:rPr>
          <w:rFonts w:hint="eastAsia"/>
          <w:color w:val="000000" w:themeColor="text1"/>
          <w:spacing w:val="-2"/>
          <w:szCs w:val="21"/>
          <w14:textFill>
            <w14:solidFill>
              <w14:schemeClr w14:val="tx1"/>
            </w14:solidFill>
          </w14:textFill>
        </w:rPr>
        <w:t>，并考虑其端部连接导线振动和导线张力的影响。安全系数不小于</w:t>
      </w:r>
      <w:r>
        <w:rPr>
          <w:color w:val="000000" w:themeColor="text1"/>
          <w:spacing w:val="-2"/>
          <w:szCs w:val="21"/>
          <w14:textFill>
            <w14:solidFill>
              <w14:schemeClr w14:val="tx1"/>
            </w14:solidFill>
          </w14:textFill>
        </w:rPr>
        <w:t>1.67</w:t>
      </w:r>
      <w:r>
        <w:rPr>
          <w:rFonts w:hint="eastAsia"/>
          <w:color w:val="000000" w:themeColor="text1"/>
          <w:spacing w:val="-2"/>
          <w:szCs w:val="21"/>
          <w14:textFill>
            <w14:solidFill>
              <w14:schemeClr w14:val="tx1"/>
            </w14:solidFill>
          </w14:textFill>
        </w:rPr>
        <w:t>。设备本体水平加速度应计及设备支架的动力放大系数</w:t>
      </w:r>
      <w:r>
        <w:rPr>
          <w:color w:val="000000" w:themeColor="text1"/>
          <w:spacing w:val="-2"/>
          <w:szCs w:val="21"/>
          <w14:textFill>
            <w14:solidFill>
              <w14:schemeClr w14:val="tx1"/>
            </w14:solidFill>
          </w14:textFill>
        </w:rPr>
        <w:t>1.2</w:t>
      </w:r>
      <w:r>
        <w:rPr>
          <w:rFonts w:hint="eastAsia"/>
          <w:color w:val="000000" w:themeColor="text1"/>
          <w:spacing w:val="-2"/>
          <w:szCs w:val="21"/>
          <w14:textFill>
            <w14:solidFill>
              <w14:schemeClr w14:val="tx1"/>
            </w14:solidFill>
          </w14:textFill>
        </w:rPr>
        <w:t>。</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4.1.5湿度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日相对湿度平均值100%。</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4.1.6 污秽等级</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对于d级以下</w:t>
      </w:r>
      <w:r>
        <w:rPr>
          <w:color w:val="000000" w:themeColor="text1"/>
          <w14:textFill>
            <w14:solidFill>
              <w14:schemeClr w14:val="tx1"/>
            </w14:solidFill>
          </w14:textFill>
        </w:rPr>
        <w:t>污</w:t>
      </w:r>
      <w:r>
        <w:rPr>
          <w:rFonts w:hint="eastAsia"/>
          <w:color w:val="000000" w:themeColor="text1"/>
          <w14:textFill>
            <w14:solidFill>
              <w14:schemeClr w14:val="tx1"/>
            </w14:solidFill>
          </w14:textFill>
        </w:rPr>
        <w:t>秽等级的地区统一按d级防污选取设备的爬电比距。d级污秽地区及以上</w:t>
      </w:r>
      <w:r>
        <w:rPr>
          <w:color w:val="000000" w:themeColor="text1"/>
          <w14:textFill>
            <w14:solidFill>
              <w14:schemeClr w14:val="tx1"/>
            </w14:solidFill>
          </w14:textFill>
        </w:rPr>
        <w:t>污</w:t>
      </w:r>
      <w:r>
        <w:rPr>
          <w:rFonts w:hint="eastAsia"/>
          <w:color w:val="000000" w:themeColor="text1"/>
          <w14:textFill>
            <w14:solidFill>
              <w14:schemeClr w14:val="tx1"/>
            </w14:solidFill>
          </w14:textFill>
        </w:rPr>
        <w:t>秽等级的地区统一按e级防污选取设备的爬电比距。设备爬电比距详见表4.2</w:t>
      </w:r>
      <w:r>
        <w:rPr>
          <w:color w:val="000000" w:themeColor="text1"/>
          <w14:textFill>
            <w14:solidFill>
              <w14:schemeClr w14:val="tx1"/>
            </w14:solidFill>
          </w14:textFill>
        </w:rPr>
        <w:t>。</w:t>
      </w:r>
    </w:p>
    <w:p>
      <w:pPr>
        <w:adjustRightInd w:val="0"/>
        <w:snapToGrid w:val="0"/>
        <w:spacing w:line="360" w:lineRule="auto"/>
        <w:jc w:val="center"/>
        <w:rPr>
          <w:rFonts w:ascii="宋体" w:hAnsi="宋体"/>
          <w:color w:val="000000" w:themeColor="text1"/>
          <w14:textFill>
            <w14:solidFill>
              <w14:schemeClr w14:val="tx1"/>
            </w14:solidFill>
          </w14:textFill>
        </w:rPr>
      </w:pPr>
      <w:r>
        <w:rPr>
          <w:rFonts w:hAnsi="宋体"/>
          <w:color w:val="000000" w:themeColor="text1"/>
          <w14:textFill>
            <w14:solidFill>
              <w14:schemeClr w14:val="tx1"/>
            </w14:solidFill>
          </w14:textFill>
        </w:rPr>
        <w:t>表</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1</w:t>
      </w:r>
      <w:r>
        <w:rPr>
          <w:rFonts w:hAnsi="宋体"/>
          <w:color w:val="000000" w:themeColor="text1"/>
          <w14:textFill>
            <w14:solidFill>
              <w14:schemeClr w14:val="tx1"/>
            </w14:solidFill>
          </w14:textFill>
        </w:rPr>
        <w:t>爬</w:t>
      </w:r>
      <w:r>
        <w:rPr>
          <w:rFonts w:hint="eastAsia" w:ascii="宋体" w:hAnsi="宋体"/>
          <w:color w:val="000000" w:themeColor="text1"/>
          <w14:textFill>
            <w14:solidFill>
              <w14:schemeClr w14:val="tx1"/>
            </w14:solidFill>
          </w14:textFill>
        </w:rPr>
        <w:t>电比距</w:t>
      </w:r>
    </w:p>
    <w:tbl>
      <w:tblPr>
        <w:tblStyle w:val="83"/>
        <w:tblW w:w="5568" w:type="dxa"/>
        <w:tblInd w:w="13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88"/>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1788" w:type="dxa"/>
            <w:vAlign w:val="center"/>
          </w:tcPr>
          <w:p>
            <w:pPr>
              <w:pStyle w:val="152"/>
              <w:adjustRightInd w:val="0"/>
              <w:snapToGrid w:val="0"/>
              <w:ind w:firstLine="0" w:firstLineChars="0"/>
              <w:jc w:val="center"/>
              <w:rPr>
                <w:rFonts w:ascii="Times New Roman"/>
                <w:color w:val="000000" w:themeColor="text1"/>
                <w:szCs w:val="18"/>
                <w14:textFill>
                  <w14:solidFill>
                    <w14:schemeClr w14:val="tx1"/>
                  </w14:solidFill>
                </w14:textFill>
              </w:rPr>
            </w:pPr>
            <w:r>
              <w:rPr>
                <w:rFonts w:ascii="Times New Roman"/>
                <w:color w:val="000000" w:themeColor="text1"/>
                <w:szCs w:val="18"/>
                <w14:textFill>
                  <w14:solidFill>
                    <w14:schemeClr w14:val="tx1"/>
                  </w14:solidFill>
                </w14:textFill>
              </w:rPr>
              <w:t>污秽等级</w:t>
            </w:r>
          </w:p>
        </w:tc>
        <w:tc>
          <w:tcPr>
            <w:tcW w:w="3780" w:type="dxa"/>
            <w:vAlign w:val="center"/>
          </w:tcPr>
          <w:p>
            <w:pPr>
              <w:pStyle w:val="152"/>
              <w:adjustRightInd w:val="0"/>
              <w:snapToGrid w:val="0"/>
              <w:ind w:firstLine="420"/>
              <w:jc w:val="center"/>
              <w:rPr>
                <w:rFonts w:ascii="Times New Roman"/>
                <w:color w:val="000000" w:themeColor="text1"/>
                <w:szCs w:val="18"/>
                <w14:textFill>
                  <w14:solidFill>
                    <w14:schemeClr w14:val="tx1"/>
                  </w14:solidFill>
                </w14:textFill>
              </w:rPr>
            </w:pPr>
            <w:r>
              <w:rPr>
                <w:rFonts w:ascii="Times New Roman" w:hAnsi="宋体"/>
                <w:color w:val="000000" w:themeColor="text1"/>
                <w:szCs w:val="18"/>
                <w14:textFill>
                  <w14:solidFill>
                    <w14:schemeClr w14:val="tx1"/>
                  </w14:solidFill>
                </w14:textFill>
              </w:rPr>
              <w:t>相对地之间最小</w:t>
            </w:r>
            <w:r>
              <w:rPr>
                <w:rFonts w:hint="eastAsia" w:ascii="Times New Roman" w:hAnsi="宋体"/>
                <w:color w:val="000000" w:themeColor="text1"/>
                <w:szCs w:val="18"/>
                <w14:textFill>
                  <w14:solidFill>
                    <w14:schemeClr w14:val="tx1"/>
                  </w14:solidFill>
                </w14:textFill>
              </w:rPr>
              <w:t>统一</w:t>
            </w:r>
            <w:r>
              <w:rPr>
                <w:rFonts w:ascii="Times New Roman" w:hAnsi="宋体"/>
                <w:color w:val="000000" w:themeColor="text1"/>
                <w:szCs w:val="18"/>
                <w14:textFill>
                  <w14:solidFill>
                    <w14:schemeClr w14:val="tx1"/>
                  </w14:solidFill>
                </w14:textFill>
              </w:rPr>
              <w:t>爬电比距（</w:t>
            </w:r>
            <w:r>
              <w:rPr>
                <w:rFonts w:ascii="Times New Roman"/>
                <w:color w:val="000000" w:themeColor="text1"/>
                <w:szCs w:val="18"/>
                <w14:textFill>
                  <w14:solidFill>
                    <w14:schemeClr w14:val="tx1"/>
                  </w14:solidFill>
                </w14:textFill>
              </w:rPr>
              <w:t>mm/kV）</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788" w:type="dxa"/>
            <w:vAlign w:val="center"/>
          </w:tcPr>
          <w:p>
            <w:pPr>
              <w:pStyle w:val="152"/>
              <w:adjustRightInd w:val="0"/>
              <w:snapToGrid w:val="0"/>
              <w:ind w:firstLine="0" w:firstLineChars="0"/>
              <w:jc w:val="center"/>
              <w:rPr>
                <w:rFonts w:ascii="Times New Roman"/>
                <w:color w:val="000000" w:themeColor="text1"/>
                <w:szCs w:val="18"/>
                <w14:textFill>
                  <w14:solidFill>
                    <w14:schemeClr w14:val="tx1"/>
                  </w14:solidFill>
                </w14:textFill>
              </w:rPr>
            </w:pPr>
            <w:r>
              <w:rPr>
                <w:rFonts w:ascii="Times New Roman"/>
                <w:color w:val="000000" w:themeColor="text1"/>
                <w:szCs w:val="18"/>
                <w14:textFill>
                  <w14:solidFill>
                    <w14:schemeClr w14:val="tx1"/>
                  </w14:solidFill>
                </w14:textFill>
              </w:rPr>
              <w:t>e</w:t>
            </w:r>
          </w:p>
        </w:tc>
        <w:tc>
          <w:tcPr>
            <w:tcW w:w="3780" w:type="dxa"/>
            <w:vAlign w:val="center"/>
          </w:tcPr>
          <w:p>
            <w:pPr>
              <w:pStyle w:val="152"/>
              <w:adjustRightInd w:val="0"/>
              <w:snapToGrid w:val="0"/>
              <w:ind w:firstLine="0" w:firstLineChars="0"/>
              <w:jc w:val="center"/>
              <w:rPr>
                <w:rFonts w:ascii="Times New Roman"/>
                <w:color w:val="000000" w:themeColor="text1"/>
                <w:szCs w:val="18"/>
                <w14:textFill>
                  <w14:solidFill>
                    <w14:schemeClr w14:val="tx1"/>
                  </w14:solidFill>
                </w14:textFill>
              </w:rPr>
            </w:pPr>
            <w:r>
              <w:rPr>
                <w:rFonts w:hint="eastAsia" w:ascii="Times New Roman"/>
                <w:color w:val="000000" w:themeColor="text1"/>
                <w:szCs w:val="18"/>
                <w14:textFill>
                  <w14:solidFill>
                    <w14:schemeClr w14:val="tx1"/>
                  </w14:solidFill>
                </w14:textFill>
              </w:rPr>
              <w:t>53.7</w:t>
            </w:r>
          </w:p>
        </w:tc>
      </w:tr>
    </w:tbl>
    <w:p>
      <w:pPr>
        <w:adjustRightInd w:val="0"/>
        <w:snapToGrid w:val="0"/>
        <w:spacing w:line="360" w:lineRule="auto"/>
        <w:rPr>
          <w:rFonts w:hint="eastAsia"/>
          <w:color w:val="000000" w:themeColor="text1"/>
          <w14:textFill>
            <w14:solidFill>
              <w14:schemeClr w14:val="tx1"/>
            </w14:solidFill>
          </w14:textFill>
        </w:rPr>
      </w:pP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4.1.7 风速</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35m/s（离地面高10m处，持续10min的100年平均最大风速）。</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4.1.8 覆冰厚度：20mm</w:t>
      </w:r>
    </w:p>
    <w:p>
      <w:pPr>
        <w:pStyle w:val="5"/>
        <w:numPr>
          <w:ilvl w:val="0"/>
          <w:numId w:val="0"/>
        </w:numPr>
        <w:adjustRightInd w:val="0"/>
        <w:snapToGrid w:val="0"/>
        <w:spacing w:line="360" w:lineRule="auto"/>
        <w:rPr>
          <w:color w:val="000000" w:themeColor="text1"/>
          <w14:textFill>
            <w14:solidFill>
              <w14:schemeClr w14:val="tx1"/>
            </w14:solidFill>
          </w14:textFill>
        </w:rPr>
      </w:pPr>
      <w:r>
        <w:rPr>
          <w:rFonts w:hint="eastAsia" w:ascii="黑体" w:hAnsi="黑体"/>
          <w:color w:val="000000" w:themeColor="text1"/>
          <w14:textFill>
            <w14:solidFill>
              <w14:schemeClr w14:val="tx1"/>
            </w14:solidFill>
          </w14:textFill>
        </w:rPr>
        <w:t>4.2特殊</w:t>
      </w:r>
      <w:r>
        <w:rPr>
          <w:rFonts w:hint="eastAsia"/>
          <w:color w:val="000000" w:themeColor="text1"/>
          <w14:textFill>
            <w14:solidFill>
              <w14:schemeClr w14:val="tx1"/>
            </w14:solidFill>
          </w14:textFill>
        </w:rPr>
        <w:t>使用条件</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电容式电压互感器可以在不同于4.1中规定的正常使用条件下使用，这时用户的要求应当在下述特殊使用条件的规定选取。</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特殊使用条件按如下规定。</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4.2.1 湿热型环境条件</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最高温度</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最高</w:t>
      </w:r>
      <w:r>
        <w:rPr>
          <w:rFonts w:hint="eastAsia"/>
          <w:color w:val="000000" w:themeColor="text1"/>
          <w14:textFill>
            <w14:solidFill>
              <w14:schemeClr w14:val="tx1"/>
            </w14:solidFill>
          </w14:textFill>
        </w:rPr>
        <w:t>月</w:t>
      </w:r>
      <w:r>
        <w:rPr>
          <w:color w:val="000000" w:themeColor="text1"/>
          <w14:textFill>
            <w14:solidFill>
              <w14:schemeClr w14:val="tx1"/>
            </w14:solidFill>
          </w14:textFill>
        </w:rPr>
        <w:t>平均温度：</w:t>
      </w:r>
      <w:r>
        <w:rPr>
          <w:rFonts w:hint="eastAsia"/>
          <w:color w:val="000000" w:themeColor="text1"/>
          <w14:textFill>
            <w14:solidFill>
              <w14:schemeClr w14:val="tx1"/>
            </w14:solidFill>
          </w14:textFill>
        </w:rPr>
        <w:t>+40</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年平均温度：25℃</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最</w:t>
      </w:r>
      <w:r>
        <w:rPr>
          <w:rFonts w:hint="eastAsia"/>
          <w:color w:val="000000" w:themeColor="text1"/>
          <w14:textFill>
            <w14:solidFill>
              <w14:schemeClr w14:val="tx1"/>
            </w14:solidFill>
          </w14:textFill>
        </w:rPr>
        <w:t>低平均温度：-10</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（户外）</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空气相对湿度100%时的最高温度：25</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有凝露、有结冰和结霜、有有害生物。</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4.2.2 地震烈度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地震烈度</w:t>
      </w:r>
      <w:r>
        <w:rPr>
          <w:color w:val="000000" w:themeColor="text1"/>
          <w14:textFill>
            <w14:solidFill>
              <w14:schemeClr w14:val="tx1"/>
            </w14:solidFill>
          </w14:textFill>
        </w:rPr>
        <w:t>9</w:t>
      </w:r>
      <w:r>
        <w:rPr>
          <w:rFonts w:hint="eastAsia"/>
          <w:color w:val="000000" w:themeColor="text1"/>
          <w14:textFill>
            <w14:solidFill>
              <w14:schemeClr w14:val="tx1"/>
            </w14:solidFill>
          </w14:textFill>
        </w:rPr>
        <w:t>度地区：</w:t>
      </w:r>
    </w:p>
    <w:p>
      <w:pPr>
        <w:adjustRightInd w:val="0"/>
        <w:snapToGrid w:val="0"/>
        <w:spacing w:line="360" w:lineRule="auto"/>
        <w:ind w:firstLine="2625" w:firstLineChars="1250"/>
        <w:rPr>
          <w:color w:val="000000" w:themeColor="text1"/>
          <w14:textFill>
            <w14:solidFill>
              <w14:schemeClr w14:val="tx1"/>
            </w14:solidFill>
          </w14:textFill>
        </w:rPr>
      </w:pPr>
      <w:r>
        <w:rPr>
          <w:rFonts w:hint="eastAsia"/>
          <w:color w:val="000000" w:themeColor="text1"/>
          <w14:textFill>
            <w14:solidFill>
              <w14:schemeClr w14:val="tx1"/>
            </w14:solidFill>
          </w14:textFill>
        </w:rPr>
        <w:t>地面水平加速度</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m/s</w:t>
      </w:r>
      <w:r>
        <w:rPr>
          <w:rFonts w:hint="eastAsia"/>
          <w:color w:val="000000" w:themeColor="text1"/>
          <w:vertAlign w:val="superscript"/>
          <w14:textFill>
            <w14:solidFill>
              <w14:schemeClr w14:val="tx1"/>
            </w14:solidFill>
          </w14:textFill>
        </w:rPr>
        <w:t>2</w:t>
      </w:r>
    </w:p>
    <w:p>
      <w:pPr>
        <w:adjustRightInd w:val="0"/>
        <w:snapToGrid w:val="0"/>
        <w:spacing w:line="360" w:lineRule="auto"/>
        <w:ind w:firstLine="2625" w:firstLineChars="1250"/>
        <w:rPr>
          <w:color w:val="000000" w:themeColor="text1"/>
          <w14:textFill>
            <w14:solidFill>
              <w14:schemeClr w14:val="tx1"/>
            </w14:solidFill>
          </w14:textFill>
        </w:rPr>
      </w:pPr>
      <w:r>
        <w:rPr>
          <w:rFonts w:hint="eastAsia"/>
          <w:color w:val="000000" w:themeColor="text1"/>
          <w14:textFill>
            <w14:solidFill>
              <w14:schemeClr w14:val="tx1"/>
            </w14:solidFill>
          </w14:textFill>
        </w:rPr>
        <w:t>地面垂直加速度2m/s</w:t>
      </w:r>
      <w:r>
        <w:rPr>
          <w:rFonts w:hint="eastAsia"/>
          <w:color w:val="000000" w:themeColor="text1"/>
          <w:vertAlign w:val="superscript"/>
          <w14:textFill>
            <w14:solidFill>
              <w14:schemeClr w14:val="tx1"/>
            </w14:solidFill>
          </w14:textFill>
        </w:rPr>
        <w:t>2</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4.2.3 海拔与外绝缘</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海拔高于1000m时，按下列要求确定：</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a.海拔在1000-2000m范围，设备外绝缘水平按2000m海拔修正，修正系数取1.13</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b.海拔在2000-2500m范围，设备外绝缘水平按2500m海拔修正，修正系数取1.20</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c.海拔在2500-3000m范围，设备外绝缘水平按3000m海拔修正，修正系数取1.28</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d.海拔高于3000m，应考虑实际运行地点的环境，经专题研究后确定。</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4.2.4 温升</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1）环境温度与温升</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当环境温度高于正常使用环境条件时，则对电容式电压互感器的温升限值应按超过部分的数值减少并应修约到最接近温度的整数值。</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2）海拔与温升</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安装场所海拔高于1000m，而试验场地低于1000m时，电容式电压互感器绕组平均温升限值应按海拔每增加400m降低1K来计算。</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试验场地海拔高于1000m，而安装场所却低于1000m时，温升限值应作相应的增加值进行修正。因海拔而作的温升修正值，均应修约到最接近温度的整数值。</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4.2.5 其它</w:t>
      </w:r>
    </w:p>
    <w:p>
      <w:pPr>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如项目单位对使用环境（如风速等）有其它特殊要求时，应在专用条款表2.5中列明。</w:t>
      </w:r>
    </w:p>
    <w:p>
      <w:pPr>
        <w:ind w:firstLine="420" w:firstLineChars="200"/>
        <w:rPr>
          <w:rFonts w:hint="eastAsia"/>
          <w:color w:val="000000" w:themeColor="text1"/>
          <w14:textFill>
            <w14:solidFill>
              <w14:schemeClr w14:val="tx1"/>
            </w14:solidFill>
          </w14:textFill>
        </w:rPr>
      </w:pPr>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38" w:name="_Toc22390002"/>
      <w:bookmarkStart w:id="39" w:name="_Toc279695711"/>
      <w:bookmarkStart w:id="40" w:name="_Toc384340982"/>
      <w:bookmarkStart w:id="41" w:name="_Toc22390000"/>
      <w:bookmarkStart w:id="42" w:name="_Toc282993251"/>
      <w:r>
        <w:rPr>
          <w:rFonts w:hint="eastAsia" w:ascii="黑体" w:hAnsi="黑体" w:eastAsia="黑体"/>
          <w:b/>
          <w:color w:val="000000" w:themeColor="text1"/>
          <w:sz w:val="21"/>
          <w:szCs w:val="21"/>
          <w14:textFill>
            <w14:solidFill>
              <w14:schemeClr w14:val="tx1"/>
            </w14:solidFill>
          </w14:textFill>
        </w:rPr>
        <w:t>5 技术要求</w:t>
      </w:r>
      <w:bookmarkEnd w:id="38"/>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43" w:name="_Toc384340985"/>
      <w:bookmarkStart w:id="44" w:name="_Toc276490903"/>
      <w:bookmarkStart w:id="45" w:name="_Toc279695719"/>
      <w:bookmarkStart w:id="46" w:name="_Toc282993254"/>
      <w:bookmarkStart w:id="47" w:name="_Toc22390003"/>
      <w:bookmarkStart w:id="48" w:name="_Toc276492375"/>
      <w:r>
        <w:rPr>
          <w:rFonts w:hint="eastAsia" w:ascii="黑体" w:hAnsi="黑体"/>
          <w:color w:val="000000" w:themeColor="text1"/>
          <w14:textFill>
            <w14:solidFill>
              <w14:schemeClr w14:val="tx1"/>
            </w14:solidFill>
          </w14:textFill>
        </w:rPr>
        <w:t>5.1技术参数</w:t>
      </w:r>
      <w:bookmarkEnd w:id="43"/>
      <w:bookmarkEnd w:id="44"/>
      <w:bookmarkEnd w:id="45"/>
      <w:bookmarkEnd w:id="46"/>
      <w:bookmarkEnd w:id="47"/>
      <w:bookmarkEnd w:id="48"/>
    </w:p>
    <w:p>
      <w:p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技术参数见技术规范书专用部分的技术参数表。</w:t>
      </w:r>
    </w:p>
    <w:p>
      <w:p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补充规定如下：</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1）设计寿命</w:t>
      </w:r>
    </w:p>
    <w:p>
      <w:pPr>
        <w:adjustRightInd w:val="0"/>
        <w:snapToGrid w:val="0"/>
        <w:spacing w:line="360" w:lineRule="auto"/>
        <w:ind w:firstLine="315" w:firstLineChars="150"/>
        <w:rPr>
          <w:color w:val="000000" w:themeColor="text1"/>
          <w14:textFill>
            <w14:solidFill>
              <w14:schemeClr w14:val="tx1"/>
            </w14:solidFill>
          </w14:textFill>
        </w:rPr>
      </w:pPr>
      <w:r>
        <w:rPr>
          <w:rFonts w:hint="eastAsia"/>
          <w:color w:val="000000" w:themeColor="text1"/>
          <w14:textFill>
            <w14:solidFill>
              <w14:schemeClr w14:val="tx1"/>
            </w14:solidFill>
          </w14:textFill>
        </w:rPr>
        <w:t>预期整体寿命不少于40年。</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2）温升要求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温升限值应满足专用条款要求。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3）额定电压和输出容量</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具体参数详见专用条款。</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4）额定电压因数</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额定电压因数及其在最高运行电压下的允许持续时间详见专用条款。</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5）无线电干扰</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在1.1倍最高运行电压下试验，电容式电压互感器与电网连接的外部件表面在晴天的夜间不应有可见电晕，无线电干扰水平不大于500μV。</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6）短路承受能力</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电容式电压互感器在施加额定电压时，应能承受历时1s的二次绕组外部短路造成的机械、电和热的效应而无损伤。</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49" w:name="_Toc276490904"/>
      <w:bookmarkStart w:id="50" w:name="_Toc279695363"/>
      <w:bookmarkStart w:id="51" w:name="_Toc22390004"/>
      <w:bookmarkStart w:id="52" w:name="_Toc384340986"/>
      <w:bookmarkStart w:id="53" w:name="_Toc276492383"/>
      <w:r>
        <w:rPr>
          <w:rFonts w:hint="eastAsia" w:ascii="黑体" w:hAnsi="黑体"/>
          <w:color w:val="000000" w:themeColor="text1"/>
          <w14:textFill>
            <w14:solidFill>
              <w14:schemeClr w14:val="tx1"/>
            </w14:solidFill>
          </w14:textFill>
        </w:rPr>
        <w:t>5.2设计结构与原材料要求</w:t>
      </w:r>
      <w:bookmarkEnd w:id="49"/>
      <w:bookmarkEnd w:id="50"/>
      <w:bookmarkEnd w:id="51"/>
      <w:bookmarkEnd w:id="52"/>
      <w:bookmarkEnd w:id="53"/>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设备、部件制造中所用的材料应该是新的、优质的、无缺陷的和无损伤的。其种类、成份、物理性能应按照最佳的工程实践，并适合相应的设备、部件的用途。材料应符合本条件书所列的类型、技术规范和等级或与之等效。本条件书未列入的材料，其合格情况、适用情况及供应商所确定的允许设计应力，应由招标方审查后才可使用。材料的详细规范，包括等级、牌号、类别均应在供应商提供审查的详图中表示出来。经招标方允许使用的代用材料，供应商应给出所有代用材料的详细说明、所符合的标准和规范、和设备零部件的所在部位。</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所有零部件应符合规定尺寸并遵照核准图纸加工并具有互换性。所有结合面、基准面和金属部件应精加工。所有铸件在有螺帽处要经加工整平。图纸上要标明规定加工等级的代号。所有螺栓、螺帽和管件螺纹应符合“国际标准化组织”关于这方面的最新标准，并完全符合国际计量规格的规定，供应商不得任意降低标准。</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5.2.1电容分压器</w:t>
      </w:r>
    </w:p>
    <w:p>
      <w:pPr>
        <w:pStyle w:val="152"/>
        <w:spacing w:line="360" w:lineRule="auto"/>
        <w:ind w:firstLine="42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多节电容器应标识安装顺序。</w:t>
      </w:r>
    </w:p>
    <w:p>
      <w:pPr>
        <w:pStyle w:val="152"/>
        <w:spacing w:line="360" w:lineRule="auto"/>
        <w:ind w:firstLine="420"/>
        <w:rPr>
          <w:color w:val="000000" w:themeColor="text1"/>
          <w:szCs w:val="21"/>
          <w14:textFill>
            <w14:solidFill>
              <w14:schemeClr w14:val="tx1"/>
            </w14:solidFill>
          </w14:textFill>
        </w:rPr>
      </w:pPr>
      <w:r>
        <w:rPr>
          <w:rFonts w:hint="eastAsia"/>
          <w:szCs w:val="21"/>
        </w:rPr>
        <w:t>电容分压器应</w:t>
      </w:r>
      <w:r>
        <w:rPr>
          <w:szCs w:val="21"/>
        </w:rPr>
        <w:t>提供足以补偿</w:t>
      </w:r>
      <w:r>
        <w:rPr>
          <w:rFonts w:hint="eastAsia"/>
          <w:szCs w:val="21"/>
          <w:lang w:val="en-US" w:eastAsia="zh-CN"/>
        </w:rPr>
        <w:t>绝缘</w:t>
      </w:r>
      <w:r>
        <w:rPr>
          <w:szCs w:val="21"/>
        </w:rPr>
        <w:t>油</w:t>
      </w:r>
      <w:r>
        <w:rPr>
          <w:rFonts w:hint="eastAsia"/>
          <w:szCs w:val="21"/>
          <w:lang w:val="en-US" w:eastAsia="zh-CN"/>
        </w:rPr>
        <w:t>因</w:t>
      </w:r>
      <w:r>
        <w:rPr>
          <w:szCs w:val="21"/>
        </w:rPr>
        <w:t>温度变化</w:t>
      </w:r>
      <w:r>
        <w:rPr>
          <w:rFonts w:hint="eastAsia"/>
          <w:szCs w:val="21"/>
          <w:lang w:val="en-US" w:eastAsia="zh-CN"/>
        </w:rPr>
        <w:t>而发生体积变化</w:t>
      </w:r>
      <w:r>
        <w:rPr>
          <w:szCs w:val="21"/>
        </w:rPr>
        <w:t>的</w:t>
      </w:r>
      <w:r>
        <w:rPr>
          <w:rFonts w:hint="eastAsia"/>
          <w:szCs w:val="21"/>
          <w:lang w:val="en-US" w:eastAsia="zh-CN"/>
        </w:rPr>
        <w:t>膨胀</w:t>
      </w:r>
      <w:r>
        <w:rPr>
          <w:szCs w:val="21"/>
        </w:rPr>
        <w:t>装置</w:t>
      </w:r>
      <w:r>
        <w:rPr>
          <w:rFonts w:hint="eastAsia"/>
          <w:color w:val="000000" w:themeColor="text1"/>
          <w:szCs w:val="21"/>
          <w14:textFill>
            <w14:solidFill>
              <w14:schemeClr w14:val="tx1"/>
            </w14:solidFill>
          </w14:textFill>
        </w:rPr>
        <w:t>，在所采用温度类别规定的整个温度范围内密封良好，运行过程中内部始终保持微正压。</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szCs w:val="21"/>
          <w14:textFill>
            <w14:solidFill>
              <w14:schemeClr w14:val="tx1"/>
            </w14:solidFill>
          </w14:textFill>
        </w:rPr>
        <w:t>高压和中压电容器</w:t>
      </w:r>
      <w:r>
        <w:rPr>
          <w:rFonts w:hint="eastAsia"/>
          <w:color w:val="000000" w:themeColor="text1"/>
          <w:szCs w:val="21"/>
          <w14:textFill>
            <w14:solidFill>
              <w14:schemeClr w14:val="tx1"/>
            </w14:solidFill>
          </w14:textFill>
        </w:rPr>
        <w:t>外绝缘应采用高强度瓷套（对抗震烈度有特殊要求的，经论证后外绝缘可采用硅橡胶复合外套）。瓷套的伞形、伞宽、伞距、弧闪距离，应符合GB/T 4109的要求，外绝缘须按照所处海拔高度及污秽等级进行相应修正。</w:t>
      </w:r>
      <w:r>
        <w:rPr>
          <w:rFonts w:hint="eastAsia"/>
          <w:color w:val="000000" w:themeColor="text1"/>
          <w14:textFill>
            <w14:solidFill>
              <w14:schemeClr w14:val="tx1"/>
            </w14:solidFill>
          </w14:textFill>
        </w:rPr>
        <w:t>瓷套</w:t>
      </w:r>
      <w:r>
        <w:rPr>
          <w:color w:val="000000" w:themeColor="text1"/>
          <w14:textFill>
            <w14:solidFill>
              <w14:schemeClr w14:val="tx1"/>
            </w14:solidFill>
          </w14:textFill>
        </w:rPr>
        <w:t>应有良好的抗污秽能力和运行特性</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其有效爬电距离应考虑伞裙直径的影响。</w:t>
      </w:r>
      <w:r>
        <w:rPr>
          <w:rFonts w:hint="eastAsia"/>
          <w:color w:val="000000" w:themeColor="text1"/>
          <w14:textFill>
            <w14:solidFill>
              <w14:schemeClr w14:val="tx1"/>
            </w14:solidFill>
          </w14:textFill>
        </w:rPr>
        <w:t>500kV电压等级电容式电压互感器外瓷套伞裙需满足以下要求：</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color w:val="000000" w:themeColor="text1"/>
          <w14:textFill>
            <w14:solidFill>
              <w14:schemeClr w14:val="tx1"/>
            </w14:solidFill>
          </w14:textFill>
        </w:rPr>
        <w:t>两裙伸出之差</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P</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-P</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 xml:space="preserve"> mm</w:t>
      </w:r>
      <w:r>
        <w:rPr>
          <w:rFonts w:hint="eastAsia"/>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w:t>
      </w:r>
      <w:r>
        <w:rPr>
          <w:color w:val="000000" w:themeColor="text1"/>
          <w14:textFill>
            <w14:solidFill>
              <w14:schemeClr w14:val="tx1"/>
            </w14:solidFill>
          </w14:textFill>
        </w:rPr>
        <w:t>相邻裙间高（S）与裙伸出长度（P</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）之比应大于0.9</w:t>
      </w:r>
      <w:r>
        <w:rPr>
          <w:rFonts w:hint="eastAsia"/>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w:t>
      </w:r>
      <w:r>
        <w:rPr>
          <w:color w:val="000000" w:themeColor="text1"/>
          <w14:textFill>
            <w14:solidFill>
              <w14:schemeClr w14:val="tx1"/>
            </w14:solidFill>
          </w14:textFill>
        </w:rPr>
        <w:t>相邻裙间高（S）≥</w:t>
      </w:r>
      <w:r>
        <w:rPr>
          <w:rFonts w:hint="eastAsia"/>
          <w:color w:val="000000" w:themeColor="text1"/>
          <w14:textFill>
            <w14:solidFill>
              <w14:schemeClr w14:val="tx1"/>
            </w14:solidFill>
          </w14:textFill>
        </w:rPr>
        <w:t>70</w:t>
      </w:r>
      <w:r>
        <w:rPr>
          <w:color w:val="000000" w:themeColor="text1"/>
          <w14:textFill>
            <w14:solidFill>
              <w14:schemeClr w14:val="tx1"/>
            </w14:solidFill>
          </w14:textFill>
        </w:rPr>
        <w:t xml:space="preserve"> mm</w:t>
      </w:r>
      <w:r>
        <w:rPr>
          <w:rFonts w:hint="eastAsia"/>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套管法兰结合处应</w:t>
      </w:r>
      <w:r>
        <w:rPr>
          <w:rFonts w:hint="eastAsia"/>
          <w:color w:val="000000" w:themeColor="text1"/>
          <w14:textFill>
            <w14:solidFill>
              <w14:schemeClr w14:val="tx1"/>
            </w14:solidFill>
          </w14:textFill>
        </w:rPr>
        <w:t>采用螺栓连接，并配有合适的法兰和密封圈。所有密封圈应为闭合成型件，应采用</w:t>
      </w:r>
      <w:r>
        <w:rPr>
          <w:color w:val="000000" w:themeColor="text1"/>
          <w14:textFill>
            <w14:solidFill>
              <w14:schemeClr w14:val="tx1"/>
            </w14:solidFill>
          </w14:textFill>
        </w:rPr>
        <w:t>有</w:t>
      </w:r>
      <w:r>
        <w:rPr>
          <w:rFonts w:hint="eastAsia"/>
          <w:color w:val="000000" w:themeColor="text1"/>
          <w14:textFill>
            <w14:solidFill>
              <w14:schemeClr w14:val="tx1"/>
            </w14:solidFill>
          </w14:textFill>
        </w:rPr>
        <w:t>压缩</w:t>
      </w:r>
      <w:r>
        <w:rPr>
          <w:color w:val="000000" w:themeColor="text1"/>
          <w14:textFill>
            <w14:solidFill>
              <w14:schemeClr w14:val="tx1"/>
            </w14:solidFill>
          </w14:textFill>
        </w:rPr>
        <w:t>限位</w:t>
      </w:r>
      <w:r>
        <w:rPr>
          <w:rFonts w:hint="eastAsia"/>
          <w:color w:val="000000" w:themeColor="text1"/>
          <w14:textFill>
            <w14:solidFill>
              <w14:schemeClr w14:val="tx1"/>
            </w14:solidFill>
          </w14:textFill>
        </w:rPr>
        <w:t>的密封结构，禁止使用U型圈密封结构。选用的密封圈应耐老化，满足与电容器油相容性的要求。在质保期内，若出现渗漏油，应由供应商负责更换全新产品。在质保期外若出现渗漏油，供应商应免费提供密封件及技术支持。</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电容分压器中间法兰应设置专用结构，方便现场试验挂线。</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5.2.2电磁单元</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5.2.2.1 油浸式电磁元件</w:t>
      </w:r>
    </w:p>
    <w:p>
      <w:pPr>
        <w:pStyle w:val="118"/>
        <w:adjustRightInd w:val="0"/>
        <w:snapToGrid w:val="0"/>
        <w:spacing w:line="360" w:lineRule="auto"/>
        <w:rPr>
          <w:rFonts w:eastAsia="宋体" w:cs="Times New Roman"/>
          <w:color w:val="000000" w:themeColor="text1"/>
          <w:szCs w:val="21"/>
          <w14:textFill>
            <w14:solidFill>
              <w14:schemeClr w14:val="tx1"/>
            </w14:solidFill>
          </w14:textFill>
        </w:rPr>
      </w:pPr>
      <w:r>
        <w:rPr>
          <w:rFonts w:eastAsia="宋体" w:cs="Times New Roman"/>
          <w:color w:val="000000" w:themeColor="text1"/>
          <w:szCs w:val="21"/>
          <w14:textFill>
            <w14:solidFill>
              <w14:schemeClr w14:val="tx1"/>
            </w14:solidFill>
          </w14:textFill>
        </w:rPr>
        <w:t>电磁元件必须装在铝合金或钢板</w:t>
      </w:r>
      <w:r>
        <w:rPr>
          <w:rFonts w:hint="eastAsia" w:eastAsia="宋体" w:cs="Times New Roman"/>
          <w:color w:val="000000" w:themeColor="text1"/>
          <w:szCs w:val="21"/>
          <w14:textFill>
            <w14:solidFill>
              <w14:schemeClr w14:val="tx1"/>
            </w14:solidFill>
          </w14:textFill>
        </w:rPr>
        <w:t>制成的油箱内。油箱内</w:t>
      </w:r>
      <w:r>
        <w:rPr>
          <w:rFonts w:eastAsia="宋体" w:cs="Times New Roman"/>
          <w:color w:val="000000" w:themeColor="text1"/>
          <w:szCs w:val="21"/>
          <w14:textFill>
            <w14:solidFill>
              <w14:schemeClr w14:val="tx1"/>
            </w14:solidFill>
          </w14:textFill>
        </w:rPr>
        <w:t>充以</w:t>
      </w:r>
      <w:r>
        <w:rPr>
          <w:rFonts w:hint="eastAsia" w:eastAsia="宋体" w:cs="Times New Roman"/>
          <w:color w:val="000000" w:themeColor="text1"/>
          <w:szCs w:val="21"/>
          <w14:textFill>
            <w14:solidFill>
              <w14:schemeClr w14:val="tx1"/>
            </w14:solidFill>
          </w14:textFill>
        </w:rPr>
        <w:t>满足GB</w:t>
      </w:r>
      <w:r>
        <w:rPr>
          <w:rFonts w:eastAsia="宋体" w:cs="Times New Roman"/>
          <w:color w:val="000000" w:themeColor="text1"/>
          <w:szCs w:val="21"/>
          <w14:textFill>
            <w14:solidFill>
              <w14:schemeClr w14:val="tx1"/>
            </w14:solidFill>
          </w14:textFill>
        </w:rPr>
        <w:t>/T</w:t>
      </w:r>
      <w:r>
        <w:rPr>
          <w:rFonts w:hint="eastAsia" w:eastAsia="宋体" w:cs="Times New Roman"/>
          <w:color w:val="000000" w:themeColor="text1"/>
          <w:szCs w:val="21"/>
          <w14:textFill>
            <w14:solidFill>
              <w14:schemeClr w14:val="tx1"/>
            </w14:solidFill>
          </w14:textFill>
        </w:rPr>
        <w:t>2536要求的绝缘</w:t>
      </w:r>
      <w:r>
        <w:rPr>
          <w:rFonts w:eastAsia="宋体" w:cs="Times New Roman"/>
          <w:color w:val="000000" w:themeColor="text1"/>
          <w:szCs w:val="21"/>
          <w14:textFill>
            <w14:solidFill>
              <w14:schemeClr w14:val="tx1"/>
            </w14:solidFill>
          </w14:textFill>
        </w:rPr>
        <w:t>油</w:t>
      </w:r>
      <w:r>
        <w:rPr>
          <w:rFonts w:hint="eastAsia" w:eastAsia="宋体" w:cs="Times New Roman"/>
          <w:color w:val="000000" w:themeColor="text1"/>
          <w:szCs w:val="21"/>
          <w14:textFill>
            <w14:solidFill>
              <w14:schemeClr w14:val="tx1"/>
            </w14:solidFill>
          </w14:textFill>
        </w:rPr>
        <w:t>，绝缘油的性能指标要求详见技术规范书专用部分。</w:t>
      </w:r>
    </w:p>
    <w:p>
      <w:pPr>
        <w:pStyle w:val="118"/>
        <w:adjustRightInd w:val="0"/>
        <w:snapToGrid w:val="0"/>
        <w:spacing w:line="360" w:lineRule="auto"/>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油箱应具有良好的密封性能，运行中不允许有渗漏现象发生。在质保期内，若出现渗漏油，应由供应商负责处理。在质保期外若出现渗漏油，供应商应免费提供密封件及技术支持。所有密封圈应为闭合成型件。应采用有压缩限位的密封结构。所选用的密封圈应耐老化，满足与绝缘油相容性的要求，并应按照</w:t>
      </w:r>
      <w:r>
        <w:rPr>
          <w:rFonts w:eastAsia="宋体" w:cs="Times New Roman"/>
          <w:color w:val="000000" w:themeColor="text1"/>
          <w:szCs w:val="21"/>
          <w14:textFill>
            <w14:solidFill>
              <w14:schemeClr w14:val="tx1"/>
            </w14:solidFill>
          </w14:textFill>
        </w:rPr>
        <w:t>GB /T7759</w:t>
      </w:r>
      <w:r>
        <w:rPr>
          <w:rFonts w:hint="eastAsia" w:eastAsia="宋体" w:cs="Times New Roman"/>
          <w:color w:val="000000" w:themeColor="text1"/>
          <w:szCs w:val="21"/>
          <w14:textFill>
            <w14:solidFill>
              <w14:schemeClr w14:val="tx1"/>
            </w14:solidFill>
          </w14:textFill>
        </w:rPr>
        <w:t>进行热空气压缩永久变形试验和按照</w:t>
      </w:r>
      <w:r>
        <w:rPr>
          <w:rFonts w:eastAsia="宋体" w:cs="Times New Roman"/>
          <w:color w:val="000000" w:themeColor="text1"/>
          <w:szCs w:val="21"/>
          <w14:textFill>
            <w14:solidFill>
              <w14:schemeClr w14:val="tx1"/>
            </w14:solidFill>
          </w14:textFill>
        </w:rPr>
        <w:t>GB /T7762</w:t>
      </w:r>
      <w:r>
        <w:rPr>
          <w:rFonts w:hint="eastAsia" w:eastAsia="宋体" w:cs="Times New Roman"/>
          <w:color w:val="000000" w:themeColor="text1"/>
          <w:szCs w:val="21"/>
          <w14:textFill>
            <w14:solidFill>
              <w14:schemeClr w14:val="tx1"/>
            </w14:solidFill>
          </w14:textFill>
        </w:rPr>
        <w:t>进行耐臭氧龟裂静态拉伸试验。</w:t>
      </w:r>
    </w:p>
    <w:p>
      <w:pPr>
        <w:pStyle w:val="118"/>
        <w:adjustRightInd w:val="0"/>
        <w:snapToGrid w:val="0"/>
        <w:spacing w:line="360" w:lineRule="auto"/>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油</w:t>
      </w:r>
      <w:r>
        <w:rPr>
          <w:rFonts w:eastAsia="宋体" w:cs="Times New Roman"/>
          <w:color w:val="000000" w:themeColor="text1"/>
          <w:szCs w:val="21"/>
          <w14:textFill>
            <w14:solidFill>
              <w14:schemeClr w14:val="tx1"/>
            </w14:solidFill>
          </w14:textFill>
        </w:rPr>
        <w:t>箱</w:t>
      </w:r>
      <w:r>
        <w:rPr>
          <w:rFonts w:hint="eastAsia" w:eastAsia="宋体" w:cs="Times New Roman"/>
          <w:szCs w:val="21"/>
          <w:u w:val="none"/>
        </w:rPr>
        <w:t>箱壳油位观察窗</w:t>
      </w:r>
      <w:r>
        <w:rPr>
          <w:rFonts w:hint="eastAsia" w:eastAsia="宋体" w:cs="Times New Roman"/>
          <w:szCs w:val="21"/>
          <w:u w:val="none"/>
          <w:lang w:val="en-US" w:eastAsia="zh-CN"/>
        </w:rPr>
        <w:t>旁应</w:t>
      </w:r>
      <w:r>
        <w:rPr>
          <w:rFonts w:hint="eastAsia" w:eastAsia="宋体" w:cs="Times New Roman"/>
          <w:szCs w:val="21"/>
          <w:u w:val="none"/>
        </w:rPr>
        <w:t>标注清晰耐久的最</w:t>
      </w:r>
      <w:r>
        <w:rPr>
          <w:rFonts w:hint="eastAsia" w:eastAsia="宋体" w:cs="Times New Roman"/>
          <w:szCs w:val="21"/>
          <w:u w:val="none"/>
          <w:lang w:eastAsia="zh-CN"/>
        </w:rPr>
        <w:t>高</w:t>
      </w:r>
      <w:r>
        <w:rPr>
          <w:rFonts w:hint="eastAsia" w:eastAsia="宋体" w:cs="Times New Roman"/>
          <w:szCs w:val="21"/>
          <w:u w:val="none"/>
        </w:rPr>
        <w:t>（MAX）、最低（MIN）油位线及 20℃的标准油位线</w:t>
      </w:r>
      <w:r>
        <w:rPr>
          <w:rFonts w:hint="eastAsia" w:eastAsia="宋体" w:cs="Times New Roman"/>
          <w:szCs w:val="21"/>
          <w:u w:val="none"/>
          <w:lang w:eastAsia="zh-CN"/>
        </w:rPr>
        <w:t>，</w:t>
      </w:r>
      <w:r>
        <w:rPr>
          <w:rFonts w:hint="eastAsia" w:eastAsia="宋体" w:cs="Times New Roman"/>
          <w:szCs w:val="21"/>
          <w:u w:val="none"/>
        </w:rPr>
        <w:t>油位观察窗应选用具有</w:t>
      </w:r>
      <w:r>
        <w:rPr>
          <w:rFonts w:hint="eastAsia" w:eastAsia="宋体" w:cs="Times New Roman"/>
          <w:szCs w:val="21"/>
          <w:u w:val="none"/>
          <w:lang w:val="en-US" w:eastAsia="zh-CN"/>
        </w:rPr>
        <w:t>防爆能力强、</w:t>
      </w:r>
      <w:r>
        <w:rPr>
          <w:rFonts w:hint="eastAsia" w:eastAsia="宋体" w:cs="Times New Roman"/>
          <w:szCs w:val="21"/>
          <w:u w:val="none"/>
        </w:rPr>
        <w:t>耐老化、高透明度</w:t>
      </w:r>
      <w:r>
        <w:rPr>
          <w:rFonts w:hint="eastAsia" w:eastAsia="宋体" w:cs="Times New Roman"/>
          <w:szCs w:val="21"/>
          <w:u w:val="none"/>
          <w:lang w:val="en-US" w:eastAsia="zh-CN"/>
        </w:rPr>
        <w:t>的</w:t>
      </w:r>
      <w:r>
        <w:rPr>
          <w:rFonts w:hint="eastAsia" w:eastAsia="宋体" w:cs="Times New Roman"/>
          <w:szCs w:val="21"/>
          <w:u w:val="none"/>
        </w:rPr>
        <w:t>材料</w:t>
      </w:r>
      <w:r>
        <w:rPr>
          <w:rFonts w:eastAsia="宋体" w:cs="Times New Roman"/>
          <w:szCs w:val="21"/>
          <w:u w:val="none"/>
        </w:rPr>
        <w:t>。</w:t>
      </w:r>
    </w:p>
    <w:p>
      <w:pPr>
        <w:pStyle w:val="118"/>
        <w:adjustRightInd w:val="0"/>
        <w:snapToGrid w:val="0"/>
        <w:spacing w:line="360" w:lineRule="auto"/>
        <w:rPr>
          <w:rFonts w:eastAsia="宋体" w:cs="Times New Roman"/>
          <w:color w:val="000000" w:themeColor="text1"/>
          <w:szCs w:val="21"/>
          <w14:textFill>
            <w14:solidFill>
              <w14:schemeClr w14:val="tx1"/>
            </w14:solidFill>
          </w14:textFill>
        </w:rPr>
      </w:pPr>
      <w:r>
        <w:rPr>
          <w:rFonts w:hint="eastAsia" w:eastAsia="宋体" w:cs="Times New Roman"/>
          <w:color w:val="000000" w:themeColor="text1"/>
          <w:szCs w:val="21"/>
          <w14:textFill>
            <w14:solidFill>
              <w14:schemeClr w14:val="tx1"/>
            </w14:solidFill>
          </w14:textFill>
        </w:rPr>
        <w:t>取油阀密封结构应优化设计，避免现场取油扭动罩帽时，阀体与罩帽一起转动损伤密封垫圈和因松动而漏油。</w:t>
      </w:r>
    </w:p>
    <w:p>
      <w:pPr>
        <w:pStyle w:val="118"/>
        <w:adjustRightInd w:val="0"/>
        <w:snapToGrid w:val="0"/>
        <w:spacing w:line="360" w:lineRule="auto"/>
        <w:rPr>
          <w:rFonts w:eastAsia="宋体" w:cs="Times New Roman"/>
          <w:color w:val="000000" w:themeColor="text1"/>
          <w:szCs w:val="21"/>
          <w14:textFill>
            <w14:solidFill>
              <w14:schemeClr w14:val="tx1"/>
            </w14:solidFill>
          </w14:textFill>
        </w:rPr>
      </w:pPr>
      <w:r>
        <w:rPr>
          <w:rFonts w:eastAsia="宋体" w:cs="Times New Roman"/>
          <w:color w:val="000000" w:themeColor="text1"/>
          <w:szCs w:val="21"/>
          <w14:textFill>
            <w14:solidFill>
              <w14:schemeClr w14:val="tx1"/>
            </w14:solidFill>
          </w14:textFill>
        </w:rPr>
        <w:t>电磁</w:t>
      </w:r>
      <w:r>
        <w:rPr>
          <w:rFonts w:hint="eastAsia" w:eastAsia="宋体" w:cs="Times New Roman"/>
          <w:color w:val="000000" w:themeColor="text1"/>
          <w:szCs w:val="21"/>
          <w14:textFill>
            <w14:solidFill>
              <w14:schemeClr w14:val="tx1"/>
            </w14:solidFill>
          </w14:textFill>
        </w:rPr>
        <w:t>元件</w:t>
      </w:r>
      <w:r>
        <w:rPr>
          <w:rFonts w:eastAsia="宋体" w:cs="Times New Roman"/>
          <w:color w:val="000000" w:themeColor="text1"/>
          <w:szCs w:val="21"/>
          <w14:textFill>
            <w14:solidFill>
              <w14:schemeClr w14:val="tx1"/>
            </w14:solidFill>
          </w14:textFill>
        </w:rPr>
        <w:t>必须与电容电压分压器完全隔离，所有互感器外露铁件必须热镀锌。</w:t>
      </w:r>
    </w:p>
    <w:p>
      <w:pPr>
        <w:pStyle w:val="152"/>
        <w:spacing w:line="360" w:lineRule="auto"/>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电容式电压互感器的中间变压器高压侧不应装设交流无间隙金属氧化物避雷器。</w:t>
      </w:r>
    </w:p>
    <w:p>
      <w:pPr>
        <w:pStyle w:val="152"/>
        <w:spacing w:line="360" w:lineRule="auto"/>
        <w:ind w:firstLine="420"/>
        <w:rPr>
          <w:rFonts w:hAnsi="宋体"/>
          <w:color w:val="000000" w:themeColor="text1"/>
          <w14:textFill>
            <w14:solidFill>
              <w14:schemeClr w14:val="tx1"/>
            </w14:solidFill>
          </w14:textFill>
        </w:rPr>
      </w:pPr>
      <w:r>
        <w:rPr>
          <w:rFonts w:hint="eastAsia" w:hAnsi="宋体" w:cs="宋体"/>
          <w:color w:val="000000" w:themeColor="text1"/>
          <w:szCs w:val="21"/>
          <w14:textFill>
            <w14:solidFill>
              <w14:schemeClr w14:val="tx1"/>
            </w14:solidFill>
          </w14:textFill>
        </w:rPr>
        <w:t>中间变压器的绕组匝电势应小于1.2V，满足长期使用要求。</w:t>
      </w:r>
    </w:p>
    <w:p>
      <w:pPr>
        <w:pStyle w:val="152"/>
        <w:spacing w:line="360" w:lineRule="auto"/>
        <w:ind w:firstLine="0" w:firstLineChars="0"/>
        <w:rPr>
          <w:rFonts w:ascii="黑体" w:hAnsi="宋体" w:eastAsia="黑体"/>
          <w:color w:val="auto"/>
        </w:rPr>
      </w:pPr>
      <w:r>
        <w:rPr>
          <w:rFonts w:hint="eastAsia" w:ascii="黑体" w:hAnsi="宋体" w:eastAsia="黑体"/>
          <w:color w:val="000000" w:themeColor="text1"/>
          <w14:textFill>
            <w14:solidFill>
              <w14:schemeClr w14:val="tx1"/>
            </w14:solidFill>
          </w14:textFill>
        </w:rPr>
        <w:t>5.2.2.2 阻尼</w:t>
      </w:r>
      <w:r>
        <w:rPr>
          <w:rFonts w:hint="eastAsia" w:ascii="黑体" w:hAnsi="宋体" w:eastAsia="黑体"/>
          <w:color w:val="auto"/>
        </w:rPr>
        <w:t>器</w:t>
      </w:r>
    </w:p>
    <w:p>
      <w:pPr>
        <w:pStyle w:val="152"/>
        <w:spacing w:line="360" w:lineRule="auto"/>
        <w:ind w:firstLine="420"/>
        <w:rPr>
          <w:rFonts w:hAnsi="宋体"/>
          <w:color w:val="auto"/>
        </w:rPr>
      </w:pPr>
      <w:r>
        <w:rPr>
          <w:rFonts w:hint="eastAsia" w:hAnsi="宋体"/>
          <w:color w:val="auto"/>
        </w:rPr>
        <w:t xml:space="preserve"> 电容式电压互感器应具备</w:t>
      </w:r>
      <w:r>
        <w:rPr>
          <w:rFonts w:hAnsi="宋体"/>
          <w:color w:val="auto"/>
        </w:rPr>
        <w:t>用于抑制铁磁谐振的阻尼器</w:t>
      </w:r>
      <w:r>
        <w:rPr>
          <w:rFonts w:hint="eastAsia" w:hAnsi="宋体"/>
          <w:color w:val="auto"/>
        </w:rPr>
        <w:t>，110kV及以上电压等级应采用速饱和电感型阻尼器，不应选用谐振型和电阻型。阻尼器应提供外接端子，方便现场试验。</w:t>
      </w:r>
    </w:p>
    <w:p>
      <w:pPr>
        <w:pStyle w:val="152"/>
        <w:spacing w:line="360" w:lineRule="auto"/>
        <w:ind w:firstLine="0" w:firstLineChars="0"/>
        <w:rPr>
          <w:rFonts w:ascii="黑体" w:hAnsi="宋体" w:eastAsia="黑体"/>
          <w:color w:val="auto"/>
        </w:rPr>
      </w:pPr>
      <w:r>
        <w:rPr>
          <w:rFonts w:hint="eastAsia" w:ascii="黑体" w:hAnsi="宋体" w:eastAsia="黑体"/>
          <w:color w:val="auto"/>
        </w:rPr>
        <w:t>5.2.2.3补偿电抗器</w:t>
      </w:r>
    </w:p>
    <w:p>
      <w:pPr>
        <w:pStyle w:val="152"/>
        <w:spacing w:line="360" w:lineRule="auto"/>
        <w:ind w:firstLine="199" w:firstLineChars="95"/>
        <w:rPr>
          <w:rFonts w:hAnsi="宋体"/>
          <w:color w:val="auto"/>
        </w:rPr>
      </w:pPr>
      <w:r>
        <w:rPr>
          <w:rFonts w:hint="eastAsia" w:hAnsi="宋体"/>
          <w:color w:val="auto"/>
        </w:rPr>
        <w:t xml:space="preserve">    补偿电抗器宜采用抽头调感式、固定气隙结构。</w:t>
      </w:r>
    </w:p>
    <w:p>
      <w:pPr>
        <w:pStyle w:val="152"/>
        <w:spacing w:line="360" w:lineRule="auto"/>
        <w:ind w:firstLine="199" w:firstLineChars="95"/>
        <w:rPr>
          <w:rFonts w:hAnsi="宋体"/>
          <w:color w:val="auto"/>
        </w:rPr>
      </w:pPr>
      <w:r>
        <w:rPr>
          <w:rFonts w:hint="eastAsia" w:hAnsi="宋体"/>
          <w:color w:val="auto"/>
        </w:rPr>
        <w:t xml:space="preserve">    补偿电抗器并联保护器件宜采用</w:t>
      </w:r>
      <w:r>
        <w:rPr>
          <w:rFonts w:hint="eastAsia"/>
          <w:color w:val="auto"/>
        </w:rPr>
        <w:t>交流无间隙金属氧化物避雷器。</w:t>
      </w:r>
    </w:p>
    <w:p>
      <w:pPr>
        <w:pStyle w:val="152"/>
        <w:spacing w:line="360" w:lineRule="auto"/>
        <w:ind w:firstLine="0" w:firstLineChars="0"/>
        <w:rPr>
          <w:rFonts w:ascii="黑体" w:hAnsi="宋体" w:eastAsia="黑体"/>
          <w:color w:val="auto"/>
        </w:rPr>
      </w:pPr>
      <w:r>
        <w:rPr>
          <w:rFonts w:hint="eastAsia" w:ascii="黑体" w:hAnsi="宋体" w:eastAsia="黑体"/>
          <w:color w:val="auto"/>
        </w:rPr>
        <w:t>5.2.3 均压环</w:t>
      </w:r>
    </w:p>
    <w:p>
      <w:pPr>
        <w:pStyle w:val="152"/>
        <w:spacing w:line="360" w:lineRule="auto"/>
        <w:ind w:firstLine="420"/>
        <w:rPr>
          <w:rFonts w:hAnsi="宋体"/>
          <w:color w:val="auto"/>
        </w:rPr>
      </w:pPr>
      <w:r>
        <w:rPr>
          <w:rFonts w:hint="eastAsia" w:hAnsi="宋体"/>
          <w:color w:val="auto"/>
        </w:rPr>
        <w:t>220kV</w:t>
      </w:r>
      <w:r>
        <w:rPr>
          <w:rFonts w:hint="eastAsia" w:hAnsi="宋体"/>
          <w:color w:val="auto"/>
          <w:lang w:val="en-US" w:eastAsia="zh-CN"/>
        </w:rPr>
        <w:t>及</w:t>
      </w:r>
      <w:r>
        <w:rPr>
          <w:rFonts w:hint="eastAsia" w:hAnsi="宋体"/>
          <w:color w:val="auto"/>
        </w:rPr>
        <w:t>以上电压等级电容式电压互感器应配备，均压环应耐腐蚀。</w:t>
      </w:r>
    </w:p>
    <w:p>
      <w:pPr>
        <w:pStyle w:val="152"/>
        <w:spacing w:line="360" w:lineRule="auto"/>
        <w:ind w:firstLine="0" w:firstLineChars="0"/>
        <w:rPr>
          <w:rFonts w:ascii="黑体" w:hAnsi="宋体" w:eastAsia="黑体"/>
          <w:color w:val="auto"/>
        </w:rPr>
      </w:pPr>
      <w:r>
        <w:rPr>
          <w:rFonts w:hint="eastAsia" w:ascii="黑体" w:hAnsi="宋体" w:eastAsia="黑体"/>
          <w:color w:val="auto"/>
        </w:rPr>
        <w:t>5.2.4原材料要求</w:t>
      </w:r>
    </w:p>
    <w:p>
      <w:pPr>
        <w:adjustRightInd w:val="0"/>
        <w:snapToGrid w:val="0"/>
        <w:spacing w:line="360" w:lineRule="auto"/>
        <w:rPr>
          <w:rFonts w:ascii="宋体" w:hAnsi="宋体" w:cs="宋体"/>
          <w:color w:val="000000" w:themeColor="text1"/>
          <w:kern w:val="0"/>
          <w:szCs w:val="21"/>
          <w14:textFill>
            <w14:solidFill>
              <w14:schemeClr w14:val="tx1"/>
            </w14:solidFill>
          </w14:textFill>
        </w:rPr>
      </w:pPr>
      <w:r>
        <w:rPr>
          <w:rFonts w:hint="eastAsia"/>
          <w:color w:val="auto"/>
        </w:rPr>
        <w:t>5.2.4.1</w:t>
      </w:r>
      <w:r>
        <w:rPr>
          <w:rFonts w:hint="eastAsia" w:ascii="宋体" w:hAnsi="宋体" w:cs="宋体"/>
          <w:color w:val="auto"/>
          <w:kern w:val="0"/>
          <w:szCs w:val="21"/>
        </w:rPr>
        <w:t>密封胶圈在每一批物料进厂时，均对密封胶圈进行耐油、耐老化、永久压缩变形</w:t>
      </w:r>
      <w:r>
        <w:rPr>
          <w:rFonts w:hint="eastAsia" w:ascii="宋体" w:hAnsi="宋体" w:cs="宋体"/>
          <w:color w:val="000000" w:themeColor="text1"/>
          <w:kern w:val="0"/>
          <w:szCs w:val="21"/>
          <w14:textFill>
            <w14:solidFill>
              <w14:schemeClr w14:val="tx1"/>
            </w14:solidFill>
          </w14:textFill>
        </w:rPr>
        <w:t>、脆性温度等试验，每批进厂进行永久压缩变形检验合格后方可入库使用。</w:t>
      </w:r>
    </w:p>
    <w:p>
      <w:pPr>
        <w:adjustRightInd w:val="0"/>
        <w:snapToGrid w:val="0"/>
        <w:spacing w:line="360" w:lineRule="auto"/>
        <w:rPr>
          <w:rFonts w:ascii="宋体" w:hAnsi="宋体"/>
          <w:snapToGrid w:val="0"/>
          <w:color w:val="000000" w:themeColor="text1"/>
          <w:szCs w:val="21"/>
          <w14:textFill>
            <w14:solidFill>
              <w14:schemeClr w14:val="tx1"/>
            </w14:solidFill>
          </w14:textFill>
        </w:rPr>
      </w:pPr>
      <w:r>
        <w:rPr>
          <w:rFonts w:hint="eastAsia" w:ascii="宋体" w:hAnsi="宋体"/>
          <w:snapToGrid w:val="0"/>
          <w:color w:val="000000" w:themeColor="text1"/>
          <w:szCs w:val="21"/>
          <w14:textFill>
            <w14:solidFill>
              <w14:schemeClr w14:val="tx1"/>
            </w14:solidFill>
          </w14:textFill>
        </w:rPr>
        <w:t>5.2.4.2电容器纸、铝箔、薄膜等原材料存放室温控制在16～26℃，湿度40～60%之间，洁净度6级以上，以避免因材料的温湿度差异造成元件卷制时产生</w:t>
      </w:r>
      <w:r>
        <w:rPr>
          <w:rFonts w:ascii="宋体" w:hAnsi="宋体"/>
          <w:snapToGrid w:val="0"/>
          <w:color w:val="000000" w:themeColor="text1"/>
          <w:szCs w:val="21"/>
          <w14:textFill>
            <w14:solidFill>
              <w14:schemeClr w14:val="tx1"/>
            </w14:solidFill>
          </w14:textFill>
        </w:rPr>
        <w:t>褶皱</w:t>
      </w:r>
      <w:r>
        <w:rPr>
          <w:rFonts w:hint="eastAsia" w:ascii="宋体" w:hAnsi="宋体"/>
          <w:snapToGrid w:val="0"/>
          <w:color w:val="000000" w:themeColor="text1"/>
          <w:szCs w:val="21"/>
          <w14:textFill>
            <w14:solidFill>
              <w14:schemeClr w14:val="tx1"/>
            </w14:solidFill>
          </w14:textFill>
        </w:rPr>
        <w:t>。</w:t>
      </w:r>
    </w:p>
    <w:p>
      <w:pPr>
        <w:adjustRightInd w:val="0"/>
        <w:snapToGrid w:val="0"/>
        <w:spacing w:line="360" w:lineRule="auto"/>
        <w:rPr>
          <w:rFonts w:ascii="宋体" w:hAnsi="宋体"/>
          <w:snapToGrid w:val="0"/>
          <w:color w:val="000000" w:themeColor="text1"/>
          <w:szCs w:val="21"/>
          <w14:textFill>
            <w14:solidFill>
              <w14:schemeClr w14:val="tx1"/>
            </w14:solidFill>
          </w14:textFill>
        </w:rPr>
      </w:pPr>
      <w:r>
        <w:rPr>
          <w:rFonts w:hint="eastAsia"/>
          <w:color w:val="000000" w:themeColor="text1"/>
          <w14:textFill>
            <w14:solidFill>
              <w14:schemeClr w14:val="tx1"/>
            </w14:solidFill>
          </w14:textFill>
        </w:rPr>
        <w:t>5.2.4.3 中间变绕</w:t>
      </w:r>
      <w:r>
        <w:rPr>
          <w:rFonts w:hint="eastAsia" w:ascii="宋体" w:hAnsi="宋体"/>
          <w:snapToGrid w:val="0"/>
          <w:color w:val="000000" w:themeColor="text1"/>
          <w:szCs w:val="21"/>
          <w14:textFill>
            <w14:solidFill>
              <w14:schemeClr w14:val="tx1"/>
            </w14:solidFill>
          </w14:textFill>
        </w:rPr>
        <w:t>组宜选用耐热等级为E级缩醛漆包圆铜线或耐热等级为B级聚酯漆包圆铜线，导线入厂时应</w:t>
      </w:r>
      <w:r>
        <w:rPr>
          <w:rFonts w:hint="eastAsia" w:ascii="宋体" w:hAnsi="宋体" w:cs="宋体"/>
          <w:color w:val="000000" w:themeColor="text1"/>
          <w:kern w:val="0"/>
          <w:szCs w:val="21"/>
          <w14:textFill>
            <w14:solidFill>
              <w14:schemeClr w14:val="tx1"/>
            </w14:solidFill>
          </w14:textFill>
        </w:rPr>
        <w:t>对材料漆膜进行厚度及绝缘测试。</w:t>
      </w:r>
    </w:p>
    <w:p>
      <w:pPr>
        <w:adjustRightInd w:val="0"/>
        <w:snapToGrid w:val="0"/>
        <w:spacing w:line="360" w:lineRule="auto"/>
        <w:rPr>
          <w:color w:val="auto"/>
        </w:rPr>
      </w:pPr>
      <w:r>
        <w:rPr>
          <w:rFonts w:hint="eastAsia"/>
          <w:color w:val="000000" w:themeColor="text1"/>
          <w14:textFill>
            <w14:solidFill>
              <w14:schemeClr w14:val="tx1"/>
            </w14:solidFill>
          </w14:textFill>
        </w:rPr>
        <w:t>5.2.4.4 电容器用双轴定向聚丙烯薄膜应符合GB/T13542.3的要求，表面光洁，厚度均匀，无缺陷，宽度偏差±1mm，空隙率平均在7%~10%范围内，纵向热收缩率≤5.0%；横向热收缩率≤3.0%，平均</w:t>
      </w:r>
      <w:r>
        <w:rPr>
          <w:rFonts w:hint="eastAsia"/>
          <w:color w:val="auto"/>
        </w:rPr>
        <w:t>击穿电压≥330kV/mm，介质损耗因数≤0.03%。</w:t>
      </w:r>
    </w:p>
    <w:p>
      <w:pPr>
        <w:adjustRightInd w:val="0"/>
        <w:snapToGrid w:val="0"/>
        <w:spacing w:line="360" w:lineRule="auto"/>
        <w:rPr>
          <w:color w:val="auto"/>
        </w:rPr>
      </w:pPr>
      <w:r>
        <w:rPr>
          <w:rFonts w:hint="eastAsia"/>
          <w:color w:val="auto"/>
        </w:rPr>
        <w:t>5.2.4.5电容器用铝箔应符合</w:t>
      </w:r>
      <w:r>
        <w:rPr>
          <w:color w:val="auto"/>
        </w:rPr>
        <w:t>GB</w:t>
      </w:r>
      <w:r>
        <w:rPr>
          <w:rFonts w:hint="eastAsia"/>
          <w:color w:val="auto"/>
        </w:rPr>
        <w:t>/</w:t>
      </w:r>
      <w:r>
        <w:rPr>
          <w:color w:val="auto"/>
        </w:rPr>
        <w:t>T 22642</w:t>
      </w:r>
      <w:r>
        <w:rPr>
          <w:rFonts w:hint="eastAsia"/>
          <w:color w:val="auto"/>
        </w:rPr>
        <w:t>的要求，表面光洁，无毛刺、无划痕，无色差，无杂质。同一批材料厚度允许偏差±0.5；宽度偏差±0.5mm，针孔数每25mm*25mm≤10个。</w:t>
      </w:r>
    </w:p>
    <w:p>
      <w:pPr>
        <w:adjustRightInd w:val="0"/>
        <w:snapToGrid w:val="0"/>
        <w:spacing w:line="360" w:lineRule="auto"/>
        <w:rPr>
          <w:color w:val="auto"/>
        </w:rPr>
      </w:pPr>
      <w:r>
        <w:rPr>
          <w:rFonts w:hint="eastAsia"/>
          <w:color w:val="auto"/>
        </w:rPr>
        <w:t>5.2.4.6电容器用油应符合GB/T 21221的要求，纯净、无杂质，使用前经抽真空、干燥、过滤处理后击穿电压应≥60kV（2.5mm球电极），含水量≤15mg/L,介质损耗因数≤0.1%（90℃）。</w:t>
      </w:r>
    </w:p>
    <w:p>
      <w:pPr>
        <w:adjustRightInd w:val="0"/>
        <w:snapToGrid w:val="0"/>
        <w:spacing w:line="360" w:lineRule="auto"/>
        <w:rPr>
          <w:color w:val="auto"/>
        </w:rPr>
      </w:pPr>
      <w:r>
        <w:rPr>
          <w:rFonts w:hint="eastAsia"/>
          <w:color w:val="auto"/>
        </w:rPr>
        <w:t>5.2.4.7 电容器纸应采用符合GB/T12913要求的优等品。厚度偏差≤7%，击穿电压≥450V/层，介质损耗因数≤0.2%（100℃）。</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5.2.4.8 电磁单元应选用#</w:t>
      </w: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5矿物绝缘油，并符合国标GB</w:t>
      </w:r>
      <w:r>
        <w:rPr>
          <w:color w:val="000000" w:themeColor="text1"/>
          <w14:textFill>
            <w14:solidFill>
              <w14:schemeClr w14:val="tx1"/>
            </w14:solidFill>
          </w14:textFill>
        </w:rPr>
        <w:t xml:space="preserve">/T </w:t>
      </w:r>
      <w:r>
        <w:rPr>
          <w:rFonts w:hint="eastAsia"/>
          <w:color w:val="000000" w:themeColor="text1"/>
          <w14:textFill>
            <w14:solidFill>
              <w14:schemeClr w14:val="tx1"/>
            </w14:solidFill>
          </w14:textFill>
        </w:rPr>
        <w:t>2536、</w:t>
      </w:r>
      <w:r>
        <w:rPr>
          <w:color w:val="000000" w:themeColor="text1"/>
          <w14:textFill>
            <w14:solidFill>
              <w14:schemeClr w14:val="tx1"/>
            </w14:solidFill>
          </w14:textFill>
        </w:rPr>
        <w:t>GB/T7595</w:t>
      </w:r>
      <w:r>
        <w:rPr>
          <w:rFonts w:hint="eastAsia"/>
          <w:color w:val="000000" w:themeColor="text1"/>
          <w14:textFill>
            <w14:solidFill>
              <w14:schemeClr w14:val="tx1"/>
            </w14:solidFill>
          </w14:textFill>
        </w:rPr>
        <w:t>的规定。使用前经抽真空、干燥、过滤处理后击穿电压应≥60kV（2.5mm球电极），含水量≤15mg/L,介质损耗因数≤0.1%（90℃）。</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5.2.4.9不同品类的油不得混用，与变压器油、PXE油相接触的绝缘材料、胶、漆等与油应有良好的相容性。</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5.2.5接线端子及二次接线盒</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5.2.5.1 一次接线端子</w:t>
      </w:r>
    </w:p>
    <w:p>
      <w:pPr>
        <w:pStyle w:val="152"/>
        <w:spacing w:line="360" w:lineRule="auto"/>
        <w:ind w:firstLine="42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Ansi="宋体"/>
          <w:color w:val="000000" w:themeColor="text1"/>
          <w14:textFill>
            <w14:solidFill>
              <w14:schemeClr w14:val="tx1"/>
            </w14:solidFill>
          </w14:textFill>
        </w:rPr>
        <w:t>)一次接线端子应采用单片平板式接线板</w:t>
      </w:r>
      <w:r>
        <w:rPr>
          <w:rFonts w:hint="eastAsia" w:hAnsi="宋体"/>
          <w:color w:val="000000" w:themeColor="text1"/>
          <w14:textFill>
            <w14:solidFill>
              <w14:schemeClr w14:val="tx1"/>
            </w14:solidFill>
          </w14:textFill>
        </w:rPr>
        <w:t>，接线板应采用铝合金材质，</w:t>
      </w:r>
      <w:r>
        <w:rPr>
          <w:rFonts w:hAnsi="宋体"/>
          <w:color w:val="000000" w:themeColor="text1"/>
          <w14:textFill>
            <w14:solidFill>
              <w14:schemeClr w14:val="tx1"/>
            </w14:solidFill>
          </w14:textFill>
        </w:rPr>
        <w:t>设计为防电晕式</w:t>
      </w:r>
      <w:r>
        <w:rPr>
          <w:rFonts w:hint="eastAsia" w:hAnsi="宋体"/>
          <w:color w:val="000000" w:themeColor="text1"/>
          <w14:textFill>
            <w14:solidFill>
              <w14:schemeClr w14:val="tx1"/>
            </w14:solidFill>
          </w14:textFill>
        </w:rPr>
        <w:t>。接线板应采用高强度螺栓，并</w:t>
      </w:r>
      <w:r>
        <w:rPr>
          <w:rFonts w:hAnsi="宋体"/>
          <w:color w:val="000000" w:themeColor="text1"/>
          <w14:textFill>
            <w14:solidFill>
              <w14:schemeClr w14:val="tx1"/>
            </w14:solidFill>
          </w14:textFill>
        </w:rPr>
        <w:t>提供紧固扭矩的要求。厂方应供给</w:t>
      </w:r>
      <w:r>
        <w:rPr>
          <w:rFonts w:hint="eastAsia" w:hAnsi="宋体"/>
          <w:color w:val="000000" w:themeColor="text1"/>
          <w14:textFill>
            <w14:solidFill>
              <w14:schemeClr w14:val="tx1"/>
            </w14:solidFill>
          </w14:textFill>
        </w:rPr>
        <w:t>一次端子接线</w:t>
      </w:r>
      <w:r>
        <w:rPr>
          <w:rFonts w:hAnsi="宋体"/>
          <w:color w:val="000000" w:themeColor="text1"/>
          <w14:textFill>
            <w14:solidFill>
              <w14:schemeClr w14:val="tx1"/>
            </w14:solidFill>
          </w14:textFill>
        </w:rPr>
        <w:t>用的全部紧固件（螺栓、螺帽及防松垫圈）</w:t>
      </w:r>
      <w:r>
        <w:rPr>
          <w:rFonts w:hint="eastAsia" w:hAnsi="宋体"/>
          <w:color w:val="000000" w:themeColor="text1"/>
          <w14:textFill>
            <w14:solidFill>
              <w14:schemeClr w14:val="tx1"/>
            </w14:solidFill>
          </w14:textFill>
        </w:rPr>
        <w:t>。一次端子端子板应采用加强筋，防止运行中变形。</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w:t>
      </w:r>
      <w:r>
        <w:rPr>
          <w:rFonts w:hAnsi="宋体"/>
          <w:color w:val="000000" w:themeColor="text1"/>
          <w14:textFill>
            <w14:solidFill>
              <w14:schemeClr w14:val="tx1"/>
            </w14:solidFill>
          </w14:textFill>
        </w:rPr>
        <w:t>紧固零件</w:t>
      </w:r>
      <w:r>
        <w:rPr>
          <w:rFonts w:hint="eastAsia" w:hAnsi="宋体"/>
          <w:color w:val="000000" w:themeColor="text1"/>
          <w14:textFill>
            <w14:solidFill>
              <w14:schemeClr w14:val="tx1"/>
            </w14:solidFill>
          </w14:textFill>
        </w:rPr>
        <w:t>表面</w:t>
      </w:r>
      <w:r>
        <w:rPr>
          <w:rFonts w:hAnsi="宋体"/>
          <w:color w:val="000000" w:themeColor="text1"/>
          <w14:textFill>
            <w14:solidFill>
              <w14:schemeClr w14:val="tx1"/>
            </w14:solidFill>
          </w14:textFill>
        </w:rPr>
        <w:t>应</w:t>
      </w:r>
      <w:r>
        <w:rPr>
          <w:rFonts w:hint="eastAsia" w:hAnsi="宋体"/>
          <w:color w:val="000000" w:themeColor="text1"/>
          <w14:textFill>
            <w14:solidFill>
              <w14:schemeClr w14:val="tx1"/>
            </w14:solidFill>
          </w14:textFill>
        </w:rPr>
        <w:t>涂</w:t>
      </w:r>
      <w:r>
        <w:rPr>
          <w:rFonts w:hAnsi="宋体"/>
          <w:color w:val="000000" w:themeColor="text1"/>
          <w14:textFill>
            <w14:solidFill>
              <w14:schemeClr w14:val="tx1"/>
            </w14:solidFill>
          </w14:textFill>
        </w:rPr>
        <w:t>有可靠的防锈镀</w:t>
      </w:r>
      <w:r>
        <w:rPr>
          <w:rFonts w:hint="eastAsia" w:hAnsi="宋体"/>
          <w:color w:val="000000" w:themeColor="text1"/>
          <w14:textFill>
            <w14:solidFill>
              <w14:schemeClr w14:val="tx1"/>
            </w14:solidFill>
          </w14:textFill>
        </w:rPr>
        <w:t>锌</w:t>
      </w:r>
      <w:r>
        <w:rPr>
          <w:rFonts w:hAnsi="宋体"/>
          <w:color w:val="000000" w:themeColor="text1"/>
          <w14:textFill>
            <w14:solidFill>
              <w14:schemeClr w14:val="tx1"/>
            </w14:solidFill>
          </w14:textFill>
        </w:rPr>
        <w:t>层</w:t>
      </w:r>
      <w:r>
        <w:rPr>
          <w:rFonts w:hint="eastAsia" w:hAnsi="宋体"/>
          <w:color w:val="000000" w:themeColor="text1"/>
          <w14:textFill>
            <w14:solidFill>
              <w14:schemeClr w14:val="tx1"/>
            </w14:solidFill>
          </w14:textFill>
        </w:rPr>
        <w:t>或采用不锈钢材料</w:t>
      </w:r>
      <w:r>
        <w:rPr>
          <w:rFonts w:ascii="宋体" w:hAnsi="宋体"/>
          <w:color w:val="000000" w:themeColor="text1"/>
          <w14:textFill>
            <w14:solidFill>
              <w14:schemeClr w14:val="tx1"/>
            </w14:solidFill>
          </w14:textFill>
        </w:rPr>
        <w:t>。</w:t>
      </w:r>
    </w:p>
    <w:p>
      <w:pPr>
        <w:spacing w:line="360" w:lineRule="auto"/>
        <w:ind w:firstLine="420" w:firstLineChars="200"/>
        <w:rPr>
          <w:rFonts w:asci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3）一次接线端子</w:t>
      </w:r>
      <w:r>
        <w:rPr>
          <w:rFonts w:hint="eastAsia" w:ascii="宋体"/>
          <w:color w:val="000000" w:themeColor="text1"/>
          <w14:textFill>
            <w14:solidFill>
              <w14:schemeClr w14:val="tx1"/>
            </w14:solidFill>
          </w14:textFill>
        </w:rPr>
        <w:t>板横断面和接触面的长期允许电流不应小于额定电流的</w:t>
      </w:r>
      <w:r>
        <w:rPr>
          <w:rFonts w:ascii="宋体"/>
          <w:color w:val="000000" w:themeColor="text1"/>
          <w14:textFill>
            <w14:solidFill>
              <w14:schemeClr w14:val="tx1"/>
            </w14:solidFill>
          </w14:textFill>
        </w:rPr>
        <w:t xml:space="preserve">1.3 </w:t>
      </w:r>
      <w:r>
        <w:rPr>
          <w:rFonts w:hint="eastAsia" w:ascii="宋体"/>
          <w:color w:val="000000" w:themeColor="text1"/>
          <w14:textFill>
            <w14:solidFill>
              <w14:schemeClr w14:val="tx1"/>
            </w14:solidFill>
          </w14:textFill>
        </w:rPr>
        <w:t>倍。</w:t>
      </w:r>
    </w:p>
    <w:p>
      <w:pPr>
        <w:spacing w:line="360" w:lineRule="auto"/>
        <w:ind w:firstLine="420" w:firstLineChars="200"/>
        <w:rPr>
          <w:rFonts w:ascii="宋体"/>
          <w:color w:val="000000" w:themeColor="text1"/>
          <w14:textFill>
            <w14:solidFill>
              <w14:schemeClr w14:val="tx1"/>
            </w14:solidFill>
          </w14:textFill>
        </w:rPr>
      </w:pPr>
      <w:r>
        <w:rPr>
          <w:rFonts w:hint="eastAsia" w:ascii="宋体"/>
          <w:color w:val="000000" w:themeColor="text1"/>
          <w14:textFill>
            <w14:solidFill>
              <w14:schemeClr w14:val="tx1"/>
            </w14:solidFill>
          </w14:textFill>
        </w:rPr>
        <w:t>4）一次平板式接线板与设备本体的连接优先采用整体浇铸或焊接方式。如采用螺栓连接，应配置不少于4个螺栓，且螺孔深度不小于10mm，保证接线板与设备本体连接牢固可靠。</w:t>
      </w:r>
    </w:p>
    <w:p>
      <w:pPr>
        <w:pStyle w:val="305"/>
        <w:spacing w:line="360" w:lineRule="auto"/>
        <w:ind w:firstLine="420"/>
        <w:jc w:val="both"/>
        <w:rPr>
          <w:rFonts w:ascii="宋体" w:hAnsi="宋体"/>
          <w:color w:val="000000" w:themeColor="text1"/>
          <w14:textFill>
            <w14:solidFill>
              <w14:schemeClr w14:val="tx1"/>
            </w14:solidFill>
          </w14:textFill>
        </w:rPr>
      </w:pPr>
      <w:r>
        <w:rPr>
          <w:rFonts w:hint="eastAsia" w:ascii="宋体" w:eastAsia="宋体"/>
          <w:color w:val="000000" w:themeColor="text1"/>
          <w:sz w:val="21"/>
          <w14:textFill>
            <w14:solidFill>
              <w14:schemeClr w14:val="tx1"/>
            </w14:solidFill>
          </w14:textFill>
        </w:rPr>
        <w:t>5</w:t>
      </w:r>
      <w:r>
        <w:rPr>
          <w:rFonts w:ascii="宋体" w:eastAsia="宋体"/>
          <w:color w:val="000000" w:themeColor="text1"/>
          <w:sz w:val="21"/>
          <w14:textFill>
            <w14:solidFill>
              <w14:schemeClr w14:val="tx1"/>
            </w14:solidFill>
          </w14:textFill>
        </w:rPr>
        <w:t>)</w:t>
      </w:r>
      <w:r>
        <w:rPr>
          <w:rFonts w:hint="eastAsia" w:ascii="宋体" w:eastAsia="宋体"/>
          <w:color w:val="000000" w:themeColor="text1"/>
          <w:sz w:val="21"/>
          <w14:textFill>
            <w14:solidFill>
              <w14:schemeClr w14:val="tx1"/>
            </w14:solidFill>
          </w14:textFill>
        </w:rPr>
        <w:t>接线板的材料及结构形式、厚度等具体细节应在图纸中加以说明，接线板接触面的电流密度应符合DL/T 5222中的规定。</w:t>
      </w:r>
    </w:p>
    <w:p>
      <w:pPr>
        <w:autoSpaceDE w:val="0"/>
        <w:autoSpaceDN w:val="0"/>
        <w:adjustRightInd w:val="0"/>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w:t>
      </w:r>
      <w:r>
        <w:rPr>
          <w:rFonts w:hint="eastAsia"/>
          <w:color w:val="000000" w:themeColor="text1"/>
          <w:szCs w:val="21"/>
          <w14:textFill>
            <w14:solidFill>
              <w14:schemeClr w14:val="tx1"/>
            </w14:solidFill>
          </w14:textFill>
        </w:rPr>
        <w:t>静态机械载荷</w:t>
      </w:r>
    </w:p>
    <w:p>
      <w:pPr>
        <w:autoSpaceDE w:val="0"/>
        <w:autoSpaceDN w:val="0"/>
        <w:adjustRightInd w:val="0"/>
        <w:spacing w:line="360" w:lineRule="auto"/>
        <w:ind w:firstLine="420" w:firstLineChars="200"/>
        <w:jc w:val="left"/>
        <w:rPr>
          <w:rFonts w:ascii="宋体"/>
          <w:color w:val="000000" w:themeColor="text1"/>
          <w14:textFill>
            <w14:solidFill>
              <w14:schemeClr w14:val="tx1"/>
            </w14:solidFill>
          </w14:textFill>
        </w:rPr>
      </w:pPr>
      <w:r>
        <w:rPr>
          <w:rFonts w:hint="eastAsia" w:ascii="宋体"/>
          <w:color w:val="000000" w:themeColor="text1"/>
          <w14:textFill>
            <w14:solidFill>
              <w14:schemeClr w14:val="tx1"/>
            </w14:solidFill>
          </w14:textFill>
        </w:rPr>
        <w:t>每台互感器一次回路应配有连接钢芯铝绞线的平板型端子板，允许作用于其上的静态机械载荷应满足下表的要求。规定的试验载荷是指施加于一次绕组端子任意方向的载荷。</w:t>
      </w:r>
    </w:p>
    <w:p>
      <w:pPr>
        <w:adjustRightInd w:val="0"/>
        <w:snapToGrid w:val="0"/>
        <w:spacing w:line="360" w:lineRule="auto"/>
        <w:jc w:val="center"/>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表5.1 静态机械载荷要求</w:t>
      </w:r>
    </w:p>
    <w:tbl>
      <w:tblPr>
        <w:tblStyle w:val="83"/>
        <w:tblW w:w="8280" w:type="dxa"/>
        <w:jc w:val="center"/>
        <w:tblLayout w:type="fixed"/>
        <w:tblCellMar>
          <w:top w:w="0" w:type="dxa"/>
          <w:left w:w="108" w:type="dxa"/>
          <w:bottom w:w="0" w:type="dxa"/>
          <w:right w:w="108" w:type="dxa"/>
        </w:tblCellMar>
      </w:tblPr>
      <w:tblGrid>
        <w:gridCol w:w="3544"/>
        <w:gridCol w:w="4736"/>
      </w:tblGrid>
      <w:tr>
        <w:tblPrEx>
          <w:tblCellMar>
            <w:top w:w="0" w:type="dxa"/>
            <w:left w:w="108" w:type="dxa"/>
            <w:bottom w:w="0" w:type="dxa"/>
            <w:right w:w="108" w:type="dxa"/>
          </w:tblCellMar>
        </w:tblPrEx>
        <w:trPr>
          <w:trHeight w:val="462" w:hRule="atLeast"/>
          <w:jc w:val="center"/>
        </w:trPr>
        <w:tc>
          <w:tcPr>
            <w:tcW w:w="3544" w:type="dxa"/>
            <w:vMerge w:val="restart"/>
            <w:tcBorders>
              <w:top w:val="single" w:color="000000" w:sz="4" w:space="0"/>
              <w:left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设备最高电压（kV）</w:t>
            </w:r>
          </w:p>
        </w:tc>
        <w:tc>
          <w:tcPr>
            <w:tcW w:w="4736" w:type="dxa"/>
            <w:tcBorders>
              <w:top w:val="single" w:color="000000" w:sz="4" w:space="0"/>
              <w:left w:val="single" w:color="000000" w:sz="4" w:space="0"/>
              <w:bottom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静态承受载荷(N)</w:t>
            </w:r>
          </w:p>
        </w:tc>
      </w:tr>
      <w:tr>
        <w:tblPrEx>
          <w:tblCellMar>
            <w:top w:w="0" w:type="dxa"/>
            <w:left w:w="108" w:type="dxa"/>
            <w:bottom w:w="0" w:type="dxa"/>
            <w:right w:w="108" w:type="dxa"/>
          </w:tblCellMar>
        </w:tblPrEx>
        <w:trPr>
          <w:trHeight w:val="493" w:hRule="atLeast"/>
          <w:jc w:val="center"/>
        </w:trPr>
        <w:tc>
          <w:tcPr>
            <w:tcW w:w="3544" w:type="dxa"/>
            <w:vMerge w:val="continue"/>
            <w:tcBorders>
              <w:left w:val="single" w:color="000000" w:sz="4" w:space="0"/>
              <w:right w:val="single" w:color="000000" w:sz="4" w:space="0"/>
            </w:tcBorders>
            <w:vAlign w:val="center"/>
          </w:tcPr>
          <w:p>
            <w:pPr>
              <w:pStyle w:val="164"/>
              <w:jc w:val="center"/>
              <w:rPr>
                <w:rFonts w:ascii="Times New Roman" w:cs="Times New Roman"/>
                <w:color w:val="000000" w:themeColor="text1"/>
                <w:kern w:val="2"/>
                <w:sz w:val="21"/>
                <w:szCs w:val="21"/>
                <w14:textFill>
                  <w14:solidFill>
                    <w14:schemeClr w14:val="tx1"/>
                  </w14:solidFill>
                </w14:textFill>
              </w:rPr>
            </w:pPr>
          </w:p>
        </w:tc>
        <w:tc>
          <w:tcPr>
            <w:tcW w:w="4736" w:type="dxa"/>
            <w:tcBorders>
              <w:top w:val="single" w:color="000000" w:sz="4" w:space="0"/>
              <w:left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电压端子</w:t>
            </w:r>
          </w:p>
        </w:tc>
      </w:tr>
      <w:tr>
        <w:tblPrEx>
          <w:tblCellMar>
            <w:top w:w="0" w:type="dxa"/>
            <w:left w:w="108" w:type="dxa"/>
            <w:bottom w:w="0" w:type="dxa"/>
            <w:right w:w="108" w:type="dxa"/>
          </w:tblCellMar>
        </w:tblPrEx>
        <w:trPr>
          <w:trHeight w:val="480" w:hRule="atLeast"/>
          <w:jc w:val="center"/>
        </w:trPr>
        <w:tc>
          <w:tcPr>
            <w:tcW w:w="3544" w:type="dxa"/>
            <w:tcBorders>
              <w:top w:val="single" w:color="000000" w:sz="4" w:space="0"/>
              <w:left w:val="single" w:color="000000" w:sz="4" w:space="0"/>
              <w:bottom w:val="single" w:color="000000" w:sz="4" w:space="0"/>
              <w:right w:val="single" w:color="000000" w:sz="4" w:space="0"/>
            </w:tcBorders>
            <w:vAlign w:val="center"/>
          </w:tcPr>
          <w:p>
            <w:pPr>
              <w:pStyle w:val="311"/>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126/</w:t>
            </w:r>
            <w:r>
              <w:rPr>
                <w:color w:val="000000" w:themeColor="text1"/>
                <w:szCs w:val="21"/>
                <w14:textFill>
                  <w14:solidFill>
                    <w14:schemeClr w14:val="tx1"/>
                  </w14:solidFill>
                </w14:textFill>
              </w:rPr>
              <w:object>
                <v:shape id="_x0000_i1025" o:spt="75" type="#_x0000_t75" style="height:18.75pt;width:18.7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p>
        </w:tc>
        <w:tc>
          <w:tcPr>
            <w:tcW w:w="4736" w:type="dxa"/>
            <w:tcBorders>
              <w:top w:val="single" w:color="000000" w:sz="4" w:space="0"/>
              <w:left w:val="single" w:color="000000" w:sz="4" w:space="0"/>
              <w:bottom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1000</w:t>
            </w:r>
          </w:p>
        </w:tc>
      </w:tr>
      <w:tr>
        <w:tblPrEx>
          <w:tblCellMar>
            <w:top w:w="0" w:type="dxa"/>
            <w:left w:w="108" w:type="dxa"/>
            <w:bottom w:w="0" w:type="dxa"/>
            <w:right w:w="108" w:type="dxa"/>
          </w:tblCellMar>
        </w:tblPrEx>
        <w:trPr>
          <w:trHeight w:val="480" w:hRule="atLeast"/>
          <w:jc w:val="center"/>
        </w:trPr>
        <w:tc>
          <w:tcPr>
            <w:tcW w:w="3544" w:type="dxa"/>
            <w:tcBorders>
              <w:top w:val="single" w:color="000000" w:sz="4" w:space="0"/>
              <w:left w:val="single" w:color="000000" w:sz="4" w:space="0"/>
              <w:bottom w:val="single" w:color="000000" w:sz="4" w:space="0"/>
              <w:right w:val="single" w:color="000000" w:sz="4" w:space="0"/>
            </w:tcBorders>
            <w:vAlign w:val="center"/>
          </w:tcPr>
          <w:p>
            <w:pPr>
              <w:pStyle w:val="311"/>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252/</w:t>
            </w:r>
            <w:r>
              <w:rPr>
                <w:color w:val="000000" w:themeColor="text1"/>
                <w:szCs w:val="21"/>
                <w14:textFill>
                  <w14:solidFill>
                    <w14:schemeClr w14:val="tx1"/>
                  </w14:solidFill>
                </w14:textFill>
              </w:rPr>
              <w:object>
                <v:shape id="_x0000_i1026" o:spt="75" type="#_x0000_t75" style="height:18.75pt;width:18.75pt;" o:ole="t" filled="f" o:preferrelative="t" stroked="f" coordsize="21600,21600">
                  <v:path/>
                  <v:fill on="f" focussize="0,0"/>
                  <v:stroke on="f" joinstyle="miter"/>
                  <v:imagedata r:id="rId17" o:title=""/>
                  <o:lock v:ext="edit" aspectratio="t"/>
                  <w10:wrap type="none"/>
                  <w10:anchorlock/>
                </v:shape>
                <o:OLEObject Type="Embed" ProgID="Equation.3" ShapeID="_x0000_i1026" DrawAspect="Content" ObjectID="_1468075726" r:id="rId18">
                  <o:LockedField>false</o:LockedField>
                </o:OLEObject>
              </w:object>
            </w:r>
          </w:p>
        </w:tc>
        <w:tc>
          <w:tcPr>
            <w:tcW w:w="4736" w:type="dxa"/>
            <w:tcBorders>
              <w:top w:val="single" w:color="000000" w:sz="4" w:space="0"/>
              <w:left w:val="single" w:color="000000" w:sz="4" w:space="0"/>
              <w:bottom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1250</w:t>
            </w:r>
          </w:p>
        </w:tc>
      </w:tr>
      <w:tr>
        <w:tblPrEx>
          <w:tblCellMar>
            <w:top w:w="0" w:type="dxa"/>
            <w:left w:w="108" w:type="dxa"/>
            <w:bottom w:w="0" w:type="dxa"/>
            <w:right w:w="108" w:type="dxa"/>
          </w:tblCellMar>
        </w:tblPrEx>
        <w:trPr>
          <w:trHeight w:val="480" w:hRule="atLeast"/>
          <w:jc w:val="center"/>
        </w:trPr>
        <w:tc>
          <w:tcPr>
            <w:tcW w:w="3544" w:type="dxa"/>
            <w:tcBorders>
              <w:top w:val="single" w:color="000000" w:sz="4" w:space="0"/>
              <w:left w:val="single" w:color="000000" w:sz="4" w:space="0"/>
              <w:bottom w:val="single" w:color="000000" w:sz="4" w:space="0"/>
              <w:right w:val="single" w:color="000000" w:sz="4" w:space="0"/>
            </w:tcBorders>
            <w:vAlign w:val="center"/>
          </w:tcPr>
          <w:p>
            <w:pPr>
              <w:pStyle w:val="311"/>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550/</w:t>
            </w:r>
            <w:r>
              <w:rPr>
                <w:color w:val="000000" w:themeColor="text1"/>
                <w:position w:val="-8"/>
                <w:szCs w:val="21"/>
                <w14:textFill>
                  <w14:solidFill>
                    <w14:schemeClr w14:val="tx1"/>
                  </w14:solidFill>
                </w14:textFill>
              </w:rPr>
              <w:object>
                <v:shape id="_x0000_i1027" o:spt="75" type="#_x0000_t75" style="height:18.75pt;width:18.7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9">
                  <o:LockedField>false</o:LockedField>
                </o:OLEObject>
              </w:object>
            </w:r>
          </w:p>
        </w:tc>
        <w:tc>
          <w:tcPr>
            <w:tcW w:w="4736" w:type="dxa"/>
            <w:tcBorders>
              <w:top w:val="single" w:color="000000" w:sz="4" w:space="0"/>
              <w:left w:val="single" w:color="000000" w:sz="4" w:space="0"/>
              <w:bottom w:val="single" w:color="000000" w:sz="4" w:space="0"/>
              <w:right w:val="single" w:color="000000" w:sz="4" w:space="0"/>
            </w:tcBorders>
            <w:vAlign w:val="center"/>
          </w:tcPr>
          <w:p>
            <w:pPr>
              <w:pStyle w:val="164"/>
              <w:jc w:val="center"/>
              <w:rPr>
                <w:rFonts w:ascii="Times New Roman" w:cs="Times New Roman"/>
                <w:color w:val="000000" w:themeColor="text1"/>
                <w:sz w:val="21"/>
                <w:szCs w:val="21"/>
                <w14:textFill>
                  <w14:solidFill>
                    <w14:schemeClr w14:val="tx1"/>
                  </w14:solidFill>
                </w14:textFill>
              </w:rPr>
            </w:pPr>
            <w:r>
              <w:rPr>
                <w:rFonts w:hint="eastAsia" w:ascii="Times New Roman" w:cs="Times New Roman"/>
                <w:color w:val="000000" w:themeColor="text1"/>
                <w:sz w:val="21"/>
                <w:szCs w:val="21"/>
                <w:lang w:val="en-US" w:eastAsia="zh-CN"/>
                <w14:textFill>
                  <w14:solidFill>
                    <w14:schemeClr w14:val="tx1"/>
                  </w14:solidFill>
                </w14:textFill>
              </w:rPr>
              <w:t>300</w:t>
            </w:r>
            <w:r>
              <w:rPr>
                <w:rFonts w:ascii="Times New Roman" w:cs="Times New Roman"/>
                <w:color w:val="000000" w:themeColor="text1"/>
                <w:sz w:val="21"/>
                <w:szCs w:val="21"/>
                <w14:textFill>
                  <w14:solidFill>
                    <w14:schemeClr w14:val="tx1"/>
                  </w14:solidFill>
                </w14:textFill>
              </w:rPr>
              <w:t>0</w:t>
            </w:r>
          </w:p>
        </w:tc>
      </w:tr>
      <w:tr>
        <w:tblPrEx>
          <w:tblCellMar>
            <w:top w:w="0" w:type="dxa"/>
            <w:left w:w="108" w:type="dxa"/>
            <w:bottom w:w="0" w:type="dxa"/>
            <w:right w:w="108" w:type="dxa"/>
          </w:tblCellMar>
        </w:tblPrEx>
        <w:trPr>
          <w:trHeight w:val="480" w:hRule="atLeast"/>
          <w:jc w:val="center"/>
        </w:trPr>
        <w:tc>
          <w:tcPr>
            <w:tcW w:w="8280" w:type="dxa"/>
            <w:gridSpan w:val="2"/>
            <w:tcBorders>
              <w:top w:val="single" w:color="000000" w:sz="4" w:space="0"/>
              <w:left w:val="single" w:color="000000" w:sz="4" w:space="0"/>
              <w:bottom w:val="single" w:color="000000" w:sz="4" w:space="0"/>
              <w:right w:val="single" w:color="000000" w:sz="4" w:space="0"/>
            </w:tcBorders>
            <w:vAlign w:val="center"/>
          </w:tcPr>
          <w:p>
            <w:pPr>
              <w:pStyle w:val="164"/>
              <w:rPr>
                <w:rFonts w:ascii="Times New Roman" w:cs="Times New Roman"/>
                <w:color w:val="000000" w:themeColor="text1"/>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注1：在日常运行条件下，起作用的载荷总和应不超过规定的承受试验载荷50%。</w:t>
            </w:r>
          </w:p>
          <w:p>
            <w:pPr>
              <w:pStyle w:val="164"/>
              <w:rPr>
                <w:rFonts w:ascii="Times New Roman" w:cs="Times New Roman"/>
                <w:color w:val="000000" w:themeColor="text1"/>
                <w:kern w:val="2"/>
                <w:sz w:val="21"/>
                <w:szCs w:val="21"/>
                <w14:textFill>
                  <w14:solidFill>
                    <w14:schemeClr w14:val="tx1"/>
                  </w14:solidFill>
                </w14:textFill>
              </w:rPr>
            </w:pPr>
            <w:r>
              <w:rPr>
                <w:rFonts w:ascii="Times New Roman" w:cs="Times New Roman"/>
                <w:color w:val="000000" w:themeColor="text1"/>
                <w:sz w:val="21"/>
                <w:szCs w:val="21"/>
                <w14:textFill>
                  <w14:solidFill>
                    <w14:schemeClr w14:val="tx1"/>
                  </w14:solidFill>
                </w14:textFill>
              </w:rPr>
              <w:t>注2：在某些应用中，可能需要防止一次端子旋转的阻力，试验时施加的力距，按实际情况由运行单位提出。</w:t>
            </w:r>
          </w:p>
        </w:tc>
      </w:tr>
    </w:tbl>
    <w:p>
      <w:pPr>
        <w:autoSpaceDE w:val="0"/>
        <w:autoSpaceDN w:val="0"/>
        <w:adjustRightInd w:val="0"/>
        <w:spacing w:line="360" w:lineRule="auto"/>
        <w:ind w:firstLine="315" w:firstLineChars="150"/>
        <w:jc w:val="left"/>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7）联合荷载耐受能力</w:t>
      </w:r>
    </w:p>
    <w:p>
      <w:pPr>
        <w:autoSpaceDE w:val="0"/>
        <w:autoSpaceDN w:val="0"/>
        <w:adjustRightInd w:val="0"/>
        <w:spacing w:line="360" w:lineRule="auto"/>
        <w:ind w:firstLine="420" w:firstLineChars="200"/>
        <w:rPr>
          <w:rFonts w:ascii="宋体"/>
          <w:color w:val="000000" w:themeColor="text1"/>
          <w14:textFill>
            <w14:solidFill>
              <w14:schemeClr w14:val="tx1"/>
            </w14:solidFill>
          </w14:textFill>
        </w:rPr>
      </w:pPr>
      <w:r>
        <w:rPr>
          <w:rFonts w:hint="eastAsia" w:ascii="宋体"/>
          <w:color w:val="000000" w:themeColor="text1"/>
          <w14:textFill>
            <w14:solidFill>
              <w14:schemeClr w14:val="tx1"/>
            </w14:solidFill>
          </w14:textFill>
        </w:rPr>
        <w:t>互感器应能耐受施加在其上面的连续和短时联合荷载，联合荷载应由其相应荷载分量的向量和来计算。</w:t>
      </w:r>
    </w:p>
    <w:p>
      <w:pPr>
        <w:pStyle w:val="302"/>
        <w:spacing w:line="360" w:lineRule="auto"/>
        <w:ind w:firstLine="420" w:firstLine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a.连续联合荷载</w:t>
      </w:r>
    </w:p>
    <w:p>
      <w:pPr>
        <w:pStyle w:val="303"/>
        <w:spacing w:line="360" w:lineRule="auto"/>
        <w:ind w:firstLine="425"/>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设备长期作用的组合负荷不小于：设备自重</w:t>
      </w:r>
      <w:r>
        <w:rPr>
          <w:rFonts w:ascii="宋体" w:eastAsia="宋体"/>
          <w:color w:val="000000" w:themeColor="text1"/>
          <w:sz w:val="21"/>
          <w14:textFill>
            <w14:solidFill>
              <w14:schemeClr w14:val="tx1"/>
            </w14:solidFill>
          </w14:textFill>
        </w:rPr>
        <w:t>+</w:t>
      </w:r>
      <w:r>
        <w:rPr>
          <w:rFonts w:hint="eastAsia" w:ascii="宋体" w:eastAsia="宋体"/>
          <w:color w:val="000000" w:themeColor="text1"/>
          <w:sz w:val="21"/>
          <w14:textFill>
            <w14:solidFill>
              <w14:schemeClr w14:val="tx1"/>
            </w14:solidFill>
          </w14:textFill>
        </w:rPr>
        <w:t>导线水平拉力</w:t>
      </w:r>
      <w:r>
        <w:rPr>
          <w:rFonts w:ascii="宋体" w:eastAsia="宋体"/>
          <w:color w:val="000000" w:themeColor="text1"/>
          <w:sz w:val="21"/>
          <w14:textFill>
            <w14:solidFill>
              <w14:schemeClr w14:val="tx1"/>
            </w14:solidFill>
          </w14:textFill>
        </w:rPr>
        <w:t>+</w:t>
      </w:r>
      <w:r>
        <w:rPr>
          <w:rFonts w:hint="eastAsia" w:ascii="宋体" w:eastAsia="宋体"/>
          <w:color w:val="000000" w:themeColor="text1"/>
          <w:sz w:val="21"/>
          <w14:textFill>
            <w14:solidFill>
              <w14:schemeClr w14:val="tx1"/>
            </w14:solidFill>
          </w14:textFill>
        </w:rPr>
        <w:t>设备最大风载。长期作用的组合荷载安全系数不小于</w:t>
      </w:r>
      <w:r>
        <w:rPr>
          <w:rFonts w:ascii="宋体" w:eastAsia="宋体"/>
          <w:color w:val="000000" w:themeColor="text1"/>
          <w:sz w:val="21"/>
          <w14:textFill>
            <w14:solidFill>
              <w14:schemeClr w14:val="tx1"/>
            </w14:solidFill>
          </w14:textFill>
        </w:rPr>
        <w:t>2.5</w:t>
      </w:r>
      <w:r>
        <w:rPr>
          <w:rFonts w:hint="eastAsia" w:ascii="宋体" w:eastAsia="宋体"/>
          <w:color w:val="000000" w:themeColor="text1"/>
          <w:sz w:val="21"/>
          <w14:textFill>
            <w14:solidFill>
              <w14:schemeClr w14:val="tx1"/>
            </w14:solidFill>
          </w14:textFill>
        </w:rPr>
        <w:t>。</w:t>
      </w:r>
    </w:p>
    <w:p>
      <w:pPr>
        <w:pStyle w:val="303"/>
        <w:spacing w:line="360" w:lineRule="auto"/>
        <w:ind w:firstLine="420" w:firstLine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b.短时联合荷载</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color w:val="000000" w:themeColor="text1"/>
          <w14:textFill>
            <w14:solidFill>
              <w14:schemeClr w14:val="tx1"/>
            </w14:solidFill>
          </w14:textFill>
        </w:rPr>
        <w:t>施加在接线板上的纵向水平张力，因地震在设备上引起的动力荷载，设备承受的</w:t>
      </w:r>
      <w:r>
        <w:rPr>
          <w:rFonts w:ascii="宋体"/>
          <w:color w:val="000000" w:themeColor="text1"/>
          <w14:textFill>
            <w14:solidFill>
              <w14:schemeClr w14:val="tx1"/>
            </w14:solidFill>
          </w14:textFill>
        </w:rPr>
        <w:t>25</w:t>
      </w:r>
      <w:r>
        <w:rPr>
          <w:rFonts w:hint="eastAsia" w:ascii="宋体"/>
          <w:color w:val="000000" w:themeColor="text1"/>
          <w14:textFill>
            <w14:solidFill>
              <w14:schemeClr w14:val="tx1"/>
            </w14:solidFill>
          </w14:textFill>
        </w:rPr>
        <w:t>％的最大风压和设备的重量。其安全系数不应低于</w:t>
      </w:r>
      <w:r>
        <w:rPr>
          <w:rFonts w:ascii="宋体"/>
          <w:color w:val="000000" w:themeColor="text1"/>
          <w14:textFill>
            <w14:solidFill>
              <w14:schemeClr w14:val="tx1"/>
            </w14:solidFill>
          </w14:textFill>
        </w:rPr>
        <w:t>1.67</w:t>
      </w:r>
      <w:r>
        <w:rPr>
          <w:rFonts w:hint="eastAsia" w:ascii="宋体"/>
          <w:color w:val="000000" w:themeColor="text1"/>
          <w14:textFill>
            <w14:solidFill>
              <w14:schemeClr w14:val="tx1"/>
            </w14:solidFill>
          </w14:textFill>
        </w:rPr>
        <w:t>。</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5.2.5.2 二次接线端子及接线盒</w:t>
      </w:r>
    </w:p>
    <w:p>
      <w:pPr>
        <w:pStyle w:val="152"/>
        <w:spacing w:line="360" w:lineRule="auto"/>
        <w:ind w:firstLine="42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Ansi="宋体"/>
          <w:color w:val="000000" w:themeColor="text1"/>
          <w14:textFill>
            <w14:solidFill>
              <w14:schemeClr w14:val="tx1"/>
            </w14:solidFill>
          </w14:textFill>
        </w:rPr>
        <w:t xml:space="preserve">) </w:t>
      </w:r>
      <w:r>
        <w:rPr>
          <w:rFonts w:hint="eastAsia" w:hAnsi="宋体"/>
          <w:color w:val="000000" w:themeColor="text1"/>
          <w14:textFill>
            <w14:solidFill>
              <w14:schemeClr w14:val="tx1"/>
            </w14:solidFill>
          </w14:textFill>
        </w:rPr>
        <w:t>二次接线端子可采用螺杆型或接线排型。</w:t>
      </w:r>
    </w:p>
    <w:p>
      <w:pPr>
        <w:pStyle w:val="152"/>
        <w:spacing w:line="360" w:lineRule="auto"/>
        <w:ind w:firstLine="42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2）如二次接线端子采用螺杆型，</w:t>
      </w:r>
      <w:r>
        <w:rPr>
          <w:rFonts w:hAnsi="宋体"/>
          <w:color w:val="000000" w:themeColor="text1"/>
          <w14:textFill>
            <w14:solidFill>
              <w14:schemeClr w14:val="tx1"/>
            </w14:solidFill>
          </w14:textFill>
        </w:rPr>
        <w:t>二次</w:t>
      </w:r>
      <w:r>
        <w:rPr>
          <w:rFonts w:hint="eastAsia" w:hAnsi="宋体"/>
          <w:color w:val="000000" w:themeColor="text1"/>
          <w14:textFill>
            <w14:solidFill>
              <w14:schemeClr w14:val="tx1"/>
            </w14:solidFill>
          </w14:textFill>
        </w:rPr>
        <w:t>接线</w:t>
      </w:r>
      <w:r>
        <w:rPr>
          <w:rFonts w:hAnsi="宋体"/>
          <w:color w:val="000000" w:themeColor="text1"/>
          <w14:textFill>
            <w14:solidFill>
              <w14:schemeClr w14:val="tx1"/>
            </w14:solidFill>
          </w14:textFill>
        </w:rPr>
        <w:t>端子螺杆直径不得小于6mm，应用铜或铜合金制成，并有可靠的防锈层。二次出线端子板防潮性能良好并具有防螺杆旋转措施。</w:t>
      </w:r>
      <w:r>
        <w:rPr>
          <w:rFonts w:hint="eastAsia" w:hAnsi="宋体"/>
          <w:color w:val="000000" w:themeColor="text1"/>
          <w14:textFill>
            <w14:solidFill>
              <w14:schemeClr w14:val="tx1"/>
            </w14:solidFill>
          </w14:textFill>
        </w:rPr>
        <w:t>接线端子板应为整体浇注型。</w:t>
      </w:r>
    </w:p>
    <w:p>
      <w:pPr>
        <w:pStyle w:val="152"/>
        <w:spacing w:line="360" w:lineRule="auto"/>
        <w:ind w:firstLine="408" w:firstLineChars="0"/>
        <w:rPr>
          <w:color w:val="000000" w:themeColor="text1"/>
          <w14:textFill>
            <w14:solidFill>
              <w14:schemeClr w14:val="tx1"/>
            </w14:solidFill>
          </w14:textFill>
        </w:rPr>
      </w:pPr>
      <w:r>
        <w:rPr>
          <w:rFonts w:hint="eastAsia" w:hAnsi="宋体"/>
          <w:color w:val="000000" w:themeColor="text1"/>
          <w:kern w:val="2"/>
          <w:szCs w:val="24"/>
          <w14:textFill>
            <w14:solidFill>
              <w14:schemeClr w14:val="tx1"/>
            </w14:solidFill>
          </w14:textFill>
        </w:rPr>
        <w:t>3）如二次接线端子采用端子排型，二次接线盒内宜配置有标准接线端子排，便于现场试验接线。</w:t>
      </w:r>
      <w:r>
        <w:rPr>
          <w:color w:val="000000" w:themeColor="text1"/>
          <w14:textFill>
            <w14:solidFill>
              <w14:schemeClr w14:val="tx1"/>
            </w14:solidFill>
          </w14:textFill>
        </w:rPr>
        <w:t>端子编号应编写在布线图里，所有二次回路原理图中都必须标注端子号。</w:t>
      </w:r>
      <w:r>
        <w:rPr>
          <w:rFonts w:hint="eastAsia"/>
          <w:color w:val="000000" w:themeColor="text1"/>
          <w14:textFill>
            <w14:solidFill>
              <w14:schemeClr w14:val="tx1"/>
            </w14:solidFill>
          </w14:textFill>
        </w:rPr>
        <w:t>端子排应便于更换，且对二次接线端子不造成遮挡。</w:t>
      </w:r>
    </w:p>
    <w:p>
      <w:pPr>
        <w:pStyle w:val="152"/>
        <w:spacing w:line="360" w:lineRule="auto"/>
        <w:ind w:firstLine="408"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rFonts w:hAnsi="宋体"/>
          <w:color w:val="000000" w:themeColor="text1"/>
          <w14:textFill>
            <w14:solidFill>
              <w14:schemeClr w14:val="tx1"/>
            </w14:solidFill>
          </w14:textFill>
        </w:rPr>
        <w:t>端子排应为在端子与端子之间具有1000V绝缘隔层的模块式结构</w:t>
      </w:r>
      <w:r>
        <w:rPr>
          <w:rFonts w:hint="eastAsia" w:hAnsi="宋体"/>
          <w:color w:val="000000" w:themeColor="text1"/>
          <w14:textFill>
            <w14:solidFill>
              <w14:schemeClr w14:val="tx1"/>
            </w14:solidFill>
          </w14:textFill>
        </w:rPr>
        <w:t>，</w:t>
      </w:r>
      <w:r>
        <w:rPr>
          <w:rFonts w:hAnsi="宋体"/>
          <w:color w:val="000000" w:themeColor="text1"/>
          <w14:textFill>
            <w14:solidFill>
              <w14:schemeClr w14:val="tx1"/>
            </w14:solidFill>
          </w14:textFill>
        </w:rPr>
        <w:t>每个端子应可以接入截面4mm</w:t>
      </w:r>
      <w:r>
        <w:rPr>
          <w:rFonts w:hAnsi="宋体"/>
          <w:color w:val="000000" w:themeColor="text1"/>
          <w:vertAlign w:val="superscript"/>
          <w14:textFill>
            <w14:solidFill>
              <w14:schemeClr w14:val="tx1"/>
            </w14:solidFill>
          </w14:textFill>
        </w:rPr>
        <w:t>2</w:t>
      </w:r>
      <w:r>
        <w:rPr>
          <w:rFonts w:hAnsi="宋体"/>
          <w:color w:val="000000" w:themeColor="text1"/>
          <w14:textFill>
            <w14:solidFill>
              <w14:schemeClr w14:val="tx1"/>
            </w14:solidFill>
          </w14:textFill>
        </w:rPr>
        <w:t>的电缆芯。每个端子应有</w:t>
      </w:r>
      <w:r>
        <w:rPr>
          <w:rFonts w:hint="eastAsia" w:hAnsi="宋体"/>
          <w:color w:val="000000" w:themeColor="text1"/>
          <w14:textFill>
            <w14:solidFill>
              <w14:schemeClr w14:val="tx1"/>
            </w14:solidFill>
          </w14:textFill>
        </w:rPr>
        <w:t>对应的</w:t>
      </w:r>
      <w:r>
        <w:rPr>
          <w:rFonts w:hAnsi="宋体"/>
          <w:color w:val="000000" w:themeColor="text1"/>
          <w14:textFill>
            <w14:solidFill>
              <w14:schemeClr w14:val="tx1"/>
            </w14:solidFill>
          </w14:textFill>
        </w:rPr>
        <w:t>标记片。在同一个端子上, 不应与两根</w:t>
      </w:r>
      <w:r>
        <w:rPr>
          <w:color w:val="000000" w:themeColor="text1"/>
          <w14:textFill>
            <w14:solidFill>
              <w14:schemeClr w14:val="tx1"/>
            </w14:solidFill>
          </w14:textFill>
        </w:rPr>
        <w:t>以上引接线连接。</w:t>
      </w:r>
    </w:p>
    <w:p>
      <w:pPr>
        <w:pStyle w:val="152"/>
        <w:spacing w:line="360" w:lineRule="auto"/>
        <w:ind w:firstLine="408"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b.</w:t>
      </w:r>
      <w:r>
        <w:rPr>
          <w:color w:val="000000" w:themeColor="text1"/>
          <w14:textFill>
            <w14:solidFill>
              <w14:schemeClr w14:val="tx1"/>
            </w14:solidFill>
          </w14:textFill>
        </w:rPr>
        <w:t>互感器的二次回路</w:t>
      </w:r>
      <w:r>
        <w:rPr>
          <w:rFonts w:hint="eastAsia"/>
          <w:color w:val="000000" w:themeColor="text1"/>
          <w14:textFill>
            <w14:solidFill>
              <w14:schemeClr w14:val="tx1"/>
            </w14:solidFill>
          </w14:textFill>
        </w:rPr>
        <w:t>应</w:t>
      </w:r>
      <w:r>
        <w:rPr>
          <w:color w:val="000000" w:themeColor="text1"/>
          <w14:textFill>
            <w14:solidFill>
              <w14:schemeClr w14:val="tx1"/>
            </w14:solidFill>
          </w14:textFill>
        </w:rPr>
        <w:t>全部</w:t>
      </w:r>
      <w:r>
        <w:rPr>
          <w:rFonts w:hint="eastAsia"/>
          <w:color w:val="000000" w:themeColor="text1"/>
          <w14:textFill>
            <w14:solidFill>
              <w14:schemeClr w14:val="tx1"/>
            </w14:solidFill>
          </w14:textFill>
        </w:rPr>
        <w:t>由接线端子</w:t>
      </w:r>
      <w:r>
        <w:rPr>
          <w:color w:val="000000" w:themeColor="text1"/>
          <w14:textFill>
            <w14:solidFill>
              <w14:schemeClr w14:val="tx1"/>
            </w14:solidFill>
          </w14:textFill>
        </w:rPr>
        <w:t>引接至端子</w:t>
      </w:r>
      <w:r>
        <w:rPr>
          <w:rFonts w:hint="eastAsia"/>
          <w:color w:val="000000" w:themeColor="text1"/>
          <w14:textFill>
            <w14:solidFill>
              <w14:schemeClr w14:val="tx1"/>
            </w14:solidFill>
          </w14:textFill>
        </w:rPr>
        <w:t>排</w:t>
      </w:r>
      <w:r>
        <w:rPr>
          <w:color w:val="000000" w:themeColor="text1"/>
          <w14:textFill>
            <w14:solidFill>
              <w14:schemeClr w14:val="tx1"/>
            </w14:solidFill>
          </w14:textFill>
        </w:rPr>
        <w:t>，引线截面至少为</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mm</w:t>
      </w:r>
      <w:r>
        <w:rPr>
          <w:color w:val="000000" w:themeColor="text1"/>
          <w:vertAlign w:val="superscript"/>
          <w14:textFill>
            <w14:solidFill>
              <w14:schemeClr w14:val="tx1"/>
            </w14:solidFill>
          </w14:textFill>
        </w:rPr>
        <w:t>2</w:t>
      </w:r>
      <w:r>
        <w:rPr>
          <w:color w:val="000000" w:themeColor="text1"/>
          <w14:textFill>
            <w14:solidFill>
              <w14:schemeClr w14:val="tx1"/>
            </w14:solidFill>
          </w14:textFill>
        </w:rPr>
        <w:t>。</w:t>
      </w:r>
    </w:p>
    <w:p>
      <w:pPr>
        <w:pStyle w:val="152"/>
        <w:spacing w:line="360" w:lineRule="auto"/>
        <w:ind w:firstLine="42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4</w:t>
      </w:r>
      <w:r>
        <w:rPr>
          <w:rFonts w:hAnsi="宋体"/>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二次接线盒</w:t>
      </w:r>
      <w:r>
        <w:rPr>
          <w:rFonts w:hAnsi="宋体"/>
          <w:color w:val="000000" w:themeColor="text1"/>
          <w14:textFill>
            <w14:solidFill>
              <w14:schemeClr w14:val="tx1"/>
            </w14:solidFill>
          </w14:textFill>
        </w:rPr>
        <w:t>应便于外部电缆的引入，其开孔应能接入外径为45mm 的电缆，配密封电缆护套，并有足够的空间。</w:t>
      </w:r>
    </w:p>
    <w:p>
      <w:pPr>
        <w:pStyle w:val="152"/>
        <w:spacing w:line="360" w:lineRule="auto"/>
        <w:ind w:firstLine="42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5</w:t>
      </w:r>
      <w:r>
        <w:rPr>
          <w:rFonts w:hAnsi="宋体"/>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二次接线盒</w:t>
      </w:r>
      <w:r>
        <w:rPr>
          <w:rFonts w:hAnsi="宋体"/>
          <w:color w:val="000000" w:themeColor="text1"/>
          <w14:textFill>
            <w14:solidFill>
              <w14:schemeClr w14:val="tx1"/>
            </w14:solidFill>
          </w14:textFill>
        </w:rPr>
        <w:t>内的</w:t>
      </w:r>
      <w:r>
        <w:rPr>
          <w:rFonts w:hint="eastAsia" w:hAnsi="宋体"/>
          <w:color w:val="000000" w:themeColor="text1"/>
          <w14:textFill>
            <w14:solidFill>
              <w14:schemeClr w14:val="tx1"/>
            </w14:solidFill>
          </w14:textFill>
        </w:rPr>
        <w:t>所有接线</w:t>
      </w:r>
      <w:r>
        <w:rPr>
          <w:rFonts w:hAnsi="宋体"/>
          <w:color w:val="000000" w:themeColor="text1"/>
          <w14:textFill>
            <w14:solidFill>
              <w14:schemeClr w14:val="tx1"/>
            </w14:solidFill>
          </w14:textFill>
        </w:rPr>
        <w:t>端子</w:t>
      </w:r>
      <w:r>
        <w:rPr>
          <w:rFonts w:hint="eastAsia" w:hAnsi="宋体"/>
          <w:color w:val="000000" w:themeColor="text1"/>
          <w14:textFill>
            <w14:solidFill>
              <w14:schemeClr w14:val="tx1"/>
            </w14:solidFill>
          </w14:textFill>
        </w:rPr>
        <w:t>、端子排和</w:t>
      </w:r>
      <w:r>
        <w:rPr>
          <w:rFonts w:hAnsi="宋体"/>
          <w:color w:val="000000" w:themeColor="text1"/>
          <w14:textFill>
            <w14:solidFill>
              <w14:schemeClr w14:val="tx1"/>
            </w14:solidFill>
          </w14:textFill>
        </w:rPr>
        <w:t>导线, 应能耐受70℃高温。</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w:t>
      </w:r>
      <w:r>
        <w:rPr>
          <w:rFonts w:ascii="宋体" w:hAnsi="宋体"/>
          <w:color w:val="000000" w:themeColor="text1"/>
          <w14:textFill>
            <w14:solidFill>
              <w14:schemeClr w14:val="tx1"/>
            </w14:solidFill>
          </w14:textFill>
        </w:rPr>
        <w:t>)</w:t>
      </w:r>
      <w:r>
        <w:rPr>
          <w:rFonts w:hint="eastAsia"/>
          <w:szCs w:val="21"/>
        </w:rPr>
        <w:t>二次接线盒应为304及以上不锈钢或铸铝材料</w:t>
      </w:r>
      <w:r>
        <w:rPr>
          <w:rFonts w:hAnsi="宋体"/>
          <w:color w:val="000000" w:themeColor="text1"/>
          <w14:textFill>
            <w14:solidFill>
              <w14:schemeClr w14:val="tx1"/>
            </w14:solidFill>
          </w14:textFill>
        </w:rPr>
        <w:t>，接线盒应防腐蚀防潮和阻燃，防护等级IP</w:t>
      </w:r>
      <w:r>
        <w:rPr>
          <w:rFonts w:hint="eastAsia" w:hAnsi="宋体"/>
          <w:color w:val="000000" w:themeColor="text1"/>
          <w14:textFill>
            <w14:solidFill>
              <w14:schemeClr w14:val="tx1"/>
            </w14:solidFill>
          </w14:textFill>
        </w:rPr>
        <w:t>55</w:t>
      </w:r>
      <w:r>
        <w:rPr>
          <w:rFonts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所有端子及紧固件应有良好的防锈镀层，足够的机械强度和保持良好的接触面。</w:t>
      </w:r>
    </w:p>
    <w:p>
      <w:pPr>
        <w:spacing w:line="360" w:lineRule="auto"/>
        <w:rPr>
          <w:rFonts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7</w:t>
      </w:r>
      <w:r>
        <w:rPr>
          <w:rFonts w:hint="eastAsia" w:hAnsi="宋体"/>
          <w:color w:val="000000" w:themeColor="text1"/>
          <w14:textFill>
            <w14:solidFill>
              <w14:schemeClr w14:val="tx1"/>
            </w14:solidFill>
          </w14:textFill>
        </w:rPr>
        <w:t>）二次接线盒上方宜加装防雨罩。</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5.2.6 设备接地要求</w:t>
      </w:r>
    </w:p>
    <w:p>
      <w:pPr>
        <w:spacing w:line="360" w:lineRule="auto"/>
        <w:ind w:firstLine="420" w:firstLineChars="20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每相</w:t>
      </w:r>
      <w:r>
        <w:rPr>
          <w:rFonts w:hint="eastAsia" w:ascii="宋体" w:hAnsi="宋体"/>
          <w:color w:val="000000" w:themeColor="text1"/>
          <w14:textFill>
            <w14:solidFill>
              <w14:schemeClr w14:val="tx1"/>
            </w14:solidFill>
          </w14:textFill>
        </w:rPr>
        <w:t>电压</w:t>
      </w:r>
      <w:r>
        <w:rPr>
          <w:rFonts w:ascii="宋体" w:hAnsi="宋体"/>
          <w:color w:val="000000" w:themeColor="text1"/>
          <w14:textFill>
            <w14:solidFill>
              <w14:schemeClr w14:val="tx1"/>
            </w14:solidFill>
          </w14:textFill>
        </w:rPr>
        <w:t>互感器应配备</w:t>
      </w:r>
      <w:r>
        <w:rPr>
          <w:rFonts w:hint="eastAsia" w:ascii="宋体" w:hAnsi="宋体"/>
          <w:color w:val="000000" w:themeColor="text1"/>
          <w14:textFill>
            <w14:solidFill>
              <w14:schemeClr w14:val="tx1"/>
            </w14:solidFill>
          </w14:textFill>
        </w:rPr>
        <w:t>两处直径不小于8mm的接地螺栓，或其他供接地线连接用的零件。且接地连接处应有平整的金属表面，且应有可靠的防锈镀层，或采用不锈钢材料制成。</w:t>
      </w:r>
      <w:r>
        <w:rPr>
          <w:rFonts w:ascii="宋体" w:hAnsi="宋体"/>
          <w:color w:val="000000" w:themeColor="text1"/>
          <w14:textFill>
            <w14:solidFill>
              <w14:schemeClr w14:val="tx1"/>
            </w14:solidFill>
          </w14:textFill>
        </w:rPr>
        <w:t>附近标有明显的接地符号“</w:t>
      </w:r>
      <w:r>
        <w:rPr>
          <w:rFonts w:ascii="宋体" w:hAnsi="宋体"/>
          <w:b/>
          <w:color w:val="000000" w:themeColor="text1"/>
          <w14:textFill>
            <w14:solidFill>
              <w14:schemeClr w14:val="tx1"/>
            </w14:solidFill>
          </w14:textFill>
        </w:rPr>
        <w:fldChar w:fldCharType="begin"/>
      </w:r>
      <w:r>
        <w:rPr>
          <w:rFonts w:ascii="宋体" w:hAnsi="宋体"/>
          <w:b/>
          <w:color w:val="000000" w:themeColor="text1"/>
          <w14:textFill>
            <w14:solidFill>
              <w14:schemeClr w14:val="tx1"/>
            </w14:solidFill>
          </w14:textFill>
        </w:rPr>
        <w:instrText xml:space="preserve"> eq \o(\s\do-4(</w:instrText>
      </w:r>
      <w:r>
        <w:rPr>
          <w:rFonts w:hint="eastAsia" w:ascii="宋体" w:hAnsi="宋体"/>
          <w:b/>
          <w:color w:val="000000" w:themeColor="text1"/>
          <w14:textFill>
            <w14:solidFill>
              <w14:schemeClr w14:val="tx1"/>
            </w14:solidFill>
          </w14:textFill>
        </w:rPr>
        <w:instrText xml:space="preserve">⊥</w:instrText>
      </w:r>
      <w:r>
        <w:rPr>
          <w:rFonts w:ascii="宋体" w:hAnsi="宋体"/>
          <w:b/>
          <w:color w:val="000000" w:themeColor="text1"/>
          <w14:textFill>
            <w14:solidFill>
              <w14:schemeClr w14:val="tx1"/>
            </w14:solidFill>
          </w14:textFill>
        </w:rPr>
        <w:instrText xml:space="preserve">),\s\do 5(＝))</w:instrText>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t>”或“</w:t>
      </w:r>
      <w:r>
        <w:rPr>
          <w:rFonts w:hint="eastAsia" w:ascii="宋体" w:hAnsi="宋体"/>
          <w:color w:val="000000" w:themeColor="text1"/>
          <w14:textFill>
            <w14:solidFill>
              <w14:schemeClr w14:val="tx1"/>
            </w14:solidFill>
          </w14:textFill>
        </w:rPr>
        <w:t>接</w:t>
      </w:r>
      <w:r>
        <w:rPr>
          <w:rFonts w:ascii="宋体" w:hAnsi="宋体"/>
          <w:color w:val="000000" w:themeColor="text1"/>
          <w14:textFill>
            <w14:solidFill>
              <w14:schemeClr w14:val="tx1"/>
            </w14:solidFill>
          </w14:textFill>
        </w:rPr>
        <w:t>地”字样。</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 xml:space="preserve"> 5.2.7 组装要求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设备应在车间内进行组装，并由供应商按照标准和招标方提出的要求进行试验。</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对所有拆卸部件应作出适当的配合标记和设定位销以保证在工地组装无误。</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5.2.8铸件要求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铸件要符合模型、外形工整、质量均匀、形态一致，并无气孔砂眼、夹渣、缩孔、裂纹和其他缺陷。</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铸件上的重大缺陷未经招标方同意，不得进行修理、填堵和施焊。在铸件关键部位出现过量的杂质或合金分凝即应予报废，在变换截面的地方应配置构造上容许的最大限度的加强筋。</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 xml:space="preserve">5.2.9焊接要求 </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焊接要遵照美国焊接学会（AWS）或其他国家使用的并得到公认的专业标准采用一种焊接工作程序，所有焊工和焊机操作员按照所用标准应是完全合格的。</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对于焊缝内的缺陷要凿除至完好金属部分，以保证在补焊前缺陷已被全部清除。对油箱全部焊缝应进行正压试漏检查。所有密封焊缝应使用着色或荧光进行试漏。采用焊接的金属板应按尺寸准确切割并卷压到规定的曲率，其端部应具有相同的曲率，不允许敲打以修整端部曲率。焊接坡口的尺寸和形状应能达到完全熔透。为适应不同焊接条件，各种坡口应具有相适应的形式。邻近焊接边缘的板面应彻底清除所有锈垢、油脂，直到露出金属光泽。</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5.2.10油漆与防锈的要求</w:t>
      </w:r>
    </w:p>
    <w:p>
      <w:pPr>
        <w:pStyle w:val="118"/>
        <w:adjustRightInd w:val="0"/>
        <w:snapToGrid w:val="0"/>
        <w:spacing w:line="360" w:lineRule="auto"/>
        <w:rPr>
          <w:rFonts w:hint="eastAsia" w:eastAsia="宋体" w:cs="Times New Roman"/>
          <w:szCs w:val="21"/>
        </w:rPr>
      </w:pPr>
      <w:r>
        <w:rPr>
          <w:rFonts w:hint="eastAsia" w:eastAsia="宋体" w:cs="Times New Roman"/>
          <w:szCs w:val="21"/>
        </w:rPr>
        <w:t>1）按本条件书提供的任何设备，除不锈钢、铸铝外，所有的金属外露部分均应作表面的防锈处理。</w:t>
      </w:r>
    </w:p>
    <w:p>
      <w:pPr>
        <w:pStyle w:val="118"/>
        <w:adjustRightInd w:val="0"/>
        <w:snapToGrid w:val="0"/>
        <w:spacing w:line="360" w:lineRule="auto"/>
        <w:rPr>
          <w:rFonts w:hint="eastAsia" w:eastAsia="宋体" w:cs="Times New Roman"/>
          <w:szCs w:val="21"/>
        </w:rPr>
      </w:pPr>
      <w:r>
        <w:rPr>
          <w:rFonts w:hint="eastAsia" w:eastAsia="宋体" w:cs="Times New Roman"/>
          <w:szCs w:val="21"/>
        </w:rPr>
        <w:t>2）除锈处理后应即喷涂一层防锈底漆。所使用的底漆和光漆的材料与型号，可根据制造厂的标准。光漆应与底漆协调，并具备优良的的耐用性。</w:t>
      </w:r>
    </w:p>
    <w:p>
      <w:pPr>
        <w:pStyle w:val="118"/>
        <w:adjustRightInd w:val="0"/>
        <w:snapToGrid w:val="0"/>
        <w:spacing w:line="360" w:lineRule="auto"/>
        <w:rPr>
          <w:rFonts w:hint="eastAsia" w:eastAsia="宋体" w:cs="Times New Roman"/>
          <w:b w:val="0"/>
          <w:bCs w:val="0"/>
          <w:color w:val="auto"/>
          <w:szCs w:val="21"/>
        </w:rPr>
      </w:pPr>
      <w:r>
        <w:rPr>
          <w:rFonts w:hint="eastAsia" w:eastAsia="宋体" w:cs="Times New Roman"/>
          <w:szCs w:val="21"/>
        </w:rPr>
        <w:t>3）对于焊接件，要求外露表面至少应喷涂一层底漆及二层瓷漆，底漆与光漆生成干燥漆膜的厚度≥0.125mm，光瓷漆至少为50％，并且有足够的弹性。油漆应持久耐用，能适应户外多种因素的影响，如抗御热带强烈阳光辐射及承受夏天骤雨所引起的急剧温度变化，抗剥落，并保持颜色新颖。</w:t>
      </w:r>
    </w:p>
    <w:p>
      <w:pPr>
        <w:pStyle w:val="118"/>
        <w:adjustRightInd w:val="0"/>
        <w:snapToGrid w:val="0"/>
        <w:spacing w:line="360" w:lineRule="auto"/>
        <w:rPr>
          <w:rFonts w:hint="eastAsia" w:eastAsia="宋体" w:cs="Times New Roman"/>
          <w:b w:val="0"/>
          <w:bCs w:val="0"/>
          <w:color w:val="auto"/>
          <w:szCs w:val="21"/>
        </w:rPr>
      </w:pPr>
      <w:r>
        <w:rPr>
          <w:rFonts w:hint="eastAsia" w:eastAsia="宋体" w:cs="Times New Roman"/>
          <w:b w:val="0"/>
          <w:bCs w:val="0"/>
          <w:color w:val="auto"/>
          <w:szCs w:val="21"/>
        </w:rPr>
        <w:t>所有外表面的光漆应为B0</w:t>
      </w:r>
      <w:r>
        <w:rPr>
          <w:rFonts w:hint="eastAsia" w:eastAsia="宋体" w:cs="Times New Roman"/>
          <w:b w:val="0"/>
          <w:bCs w:val="0"/>
          <w:color w:val="auto"/>
          <w:szCs w:val="21"/>
          <w:lang w:val="en-US" w:eastAsia="zh-CN"/>
        </w:rPr>
        <w:t>5</w:t>
      </w:r>
      <w:r>
        <w:rPr>
          <w:rFonts w:hint="eastAsia" w:eastAsia="宋体" w:cs="Times New Roman"/>
          <w:b w:val="0"/>
          <w:bCs w:val="0"/>
          <w:color w:val="auto"/>
          <w:szCs w:val="21"/>
        </w:rPr>
        <w:t>浅灰漆。</w:t>
      </w:r>
    </w:p>
    <w:p>
      <w:pPr>
        <w:pStyle w:val="118"/>
        <w:adjustRightInd w:val="0"/>
        <w:snapToGrid w:val="0"/>
        <w:spacing w:line="360" w:lineRule="auto"/>
        <w:rPr>
          <w:rFonts w:hint="eastAsia" w:eastAsia="宋体" w:cs="Times New Roman"/>
          <w:b w:val="0"/>
          <w:bCs w:val="0"/>
          <w:color w:val="auto"/>
          <w:szCs w:val="21"/>
        </w:rPr>
      </w:pPr>
      <w:r>
        <w:rPr>
          <w:rFonts w:hint="eastAsia" w:eastAsia="宋体" w:cs="Times New Roman"/>
          <w:b w:val="0"/>
          <w:bCs w:val="0"/>
          <w:color w:val="auto"/>
          <w:szCs w:val="21"/>
        </w:rPr>
        <w:t>4）供应商应提供油漆的使用、清理过程及涂刷细节，以便在作业开始前由招标方认可。</w:t>
      </w:r>
    </w:p>
    <w:p>
      <w:pPr>
        <w:pStyle w:val="118"/>
        <w:adjustRightInd w:val="0"/>
        <w:snapToGrid w:val="0"/>
        <w:spacing w:line="360" w:lineRule="auto"/>
        <w:rPr>
          <w:rFonts w:hint="eastAsia" w:eastAsia="宋体" w:cs="Times New Roman"/>
          <w:b w:val="0"/>
          <w:bCs w:val="0"/>
          <w:color w:val="auto"/>
          <w:szCs w:val="21"/>
        </w:rPr>
      </w:pPr>
      <w:r>
        <w:rPr>
          <w:rFonts w:hint="eastAsia" w:eastAsia="宋体" w:cs="Times New Roman"/>
          <w:b w:val="0"/>
          <w:bCs w:val="0"/>
          <w:color w:val="auto"/>
          <w:szCs w:val="21"/>
        </w:rPr>
        <w:t>5）油箱的内表面应涂以高光彩的浅色油漆，该油漆与绝缘油不致发生作用,对绝缘油也应没有影响。</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eastAsia="宋体" w:cs="Times New Roman"/>
          <w:szCs w:val="21"/>
        </w:rPr>
        <w:t>6）供应商所使用的油漆必须具备足够的附着力，新喷涂油漆必须满足GB/T 9286 1级及以下的破坏程度。</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5.2.11其它要求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需要检查和更换的设备部件</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必须用螺栓和螺帽加以固定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不</w:t>
      </w:r>
      <w:r>
        <w:rPr>
          <w:rFonts w:hint="eastAsia"/>
          <w:color w:val="000000" w:themeColor="text1"/>
          <w14:textFill>
            <w14:solidFill>
              <w14:schemeClr w14:val="tx1"/>
            </w14:solidFill>
          </w14:textFill>
        </w:rPr>
        <w:t>采</w:t>
      </w:r>
      <w:r>
        <w:rPr>
          <w:color w:val="000000" w:themeColor="text1"/>
          <w14:textFill>
            <w14:solidFill>
              <w14:schemeClr w14:val="tx1"/>
            </w14:solidFill>
          </w14:textFill>
        </w:rPr>
        <w:t>用内装螺栓。</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为便于现场作业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所有的设备都应有标记</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如中心线、标记等</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重大件还应有重心标记。</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）除非本</w:t>
      </w:r>
      <w:r>
        <w:rPr>
          <w:rFonts w:hint="eastAsia"/>
          <w:color w:val="000000" w:themeColor="text1"/>
          <w14:textFill>
            <w14:solidFill>
              <w14:schemeClr w14:val="tx1"/>
            </w14:solidFill>
          </w14:textFill>
        </w:rPr>
        <w:t>技术规范书</w:t>
      </w:r>
      <w:r>
        <w:rPr>
          <w:color w:val="000000" w:themeColor="text1"/>
          <w14:textFill>
            <w14:solidFill>
              <w14:schemeClr w14:val="tx1"/>
            </w14:solidFill>
          </w14:textFill>
        </w:rPr>
        <w:t>中另有规定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构成设备的材料应充分核对其特性</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从通常用于同类设备的高质量材料中选取。</w:t>
      </w:r>
    </w:p>
    <w:p>
      <w:pPr>
        <w:pStyle w:val="5"/>
        <w:numPr>
          <w:ilvl w:val="0"/>
          <w:numId w:val="0"/>
        </w:numPr>
        <w:spacing w:line="360" w:lineRule="auto"/>
        <w:rPr>
          <w:color w:val="000000" w:themeColor="text1"/>
          <w14:textFill>
            <w14:solidFill>
              <w14:schemeClr w14:val="tx1"/>
            </w14:solidFill>
          </w14:textFill>
        </w:rPr>
      </w:pPr>
      <w:bookmarkStart w:id="54" w:name="_Toc22390005"/>
      <w:r>
        <w:rPr>
          <w:rFonts w:hint="eastAsia"/>
          <w:color w:val="000000" w:themeColor="text1"/>
          <w14:textFill>
            <w14:solidFill>
              <w14:schemeClr w14:val="tx1"/>
            </w14:solidFill>
          </w14:textFill>
        </w:rPr>
        <w:t>5.3 制造工艺要求</w:t>
      </w:r>
      <w:bookmarkEnd w:id="54"/>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5.3.1 电磁单元油箱加工</w:t>
      </w:r>
    </w:p>
    <w:p>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本条款适用于油浸式电磁单元，干式电磁单元不适用此条款。</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1）所有法兰密封面、密封槽应经机加工，所有法兰密封面加工面光洁度应达25，密封槽加工面光洁度6.3。密封面处理后平整度凸点高/凹点深：</w:t>
      </w:r>
      <w:r>
        <w:rPr>
          <w:color w:val="000000" w:themeColor="text1"/>
          <w:szCs w:val="21"/>
          <w14:textFill>
            <w14:solidFill>
              <w14:schemeClr w14:val="tx1"/>
            </w14:solidFill>
          </w14:textFill>
        </w:rPr>
        <w:t>0.4/0.7mm</w:t>
      </w:r>
      <w:r>
        <w:rPr>
          <w:rFonts w:hint="eastAsia"/>
          <w:color w:val="000000" w:themeColor="text1"/>
          <w:szCs w:val="21"/>
          <w14:textFill>
            <w14:solidFill>
              <w14:schemeClr w14:val="tx1"/>
            </w14:solidFill>
          </w14:textFill>
        </w:rPr>
        <w:t>，无划痕损伤。</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2）油箱内部金属件尖角棱边应全部加工、打磨为光滑圆角以改善电场。并磨平油箱内壁可能的尖角毛刺、焊瘤和飞溅物，确保内壁光洁。</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3）油箱箱沿密封面平整度保证在≤1‰。</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4）法兰焊后密封面的平整度，当法兰直径＜50mm时应≤2‰；法兰直径≥50mm时应≤3‰。</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5）钢板对接焊时，应按照GB/T 985.1的要求打坡口进行焊接。</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6）焊缝应无气孔、夹渣、裂纹、咬边等焊接缺陷，焊缝不允许有渗漏。</w:t>
      </w:r>
    </w:p>
    <w:p>
      <w:pPr>
        <w:spacing w:line="360" w:lineRule="auto"/>
        <w:ind w:firstLine="315" w:firstLineChars="150"/>
        <w:rPr>
          <w:rFonts w:cs="宋体" w:asciiTheme="minorEastAsia" w:hAnsiTheme="minorEastAsia"/>
          <w:color w:val="000000" w:themeColor="text1"/>
          <w:kern w:val="0"/>
          <w:szCs w:val="21"/>
          <w14:textFill>
            <w14:solidFill>
              <w14:schemeClr w14:val="tx1"/>
            </w14:solidFill>
          </w14:textFill>
        </w:rPr>
      </w:pPr>
      <w:r>
        <w:rPr>
          <w:rFonts w:hint="eastAsia"/>
          <w:color w:val="000000" w:themeColor="text1"/>
          <w:szCs w:val="21"/>
          <w14:textFill>
            <w14:solidFill>
              <w14:schemeClr w14:val="tx1"/>
            </w14:solidFill>
          </w14:textFill>
        </w:rPr>
        <w:t>7）为保证</w:t>
      </w:r>
      <w:r>
        <w:rPr>
          <w:rFonts w:hint="eastAsia" w:cs="宋体" w:asciiTheme="minorEastAsia" w:hAnsiTheme="minorEastAsia"/>
          <w:color w:val="000000" w:themeColor="text1"/>
          <w:kern w:val="0"/>
          <w:szCs w:val="21"/>
          <w14:textFill>
            <w14:solidFill>
              <w14:schemeClr w14:val="tx1"/>
            </w14:solidFill>
          </w14:textFill>
        </w:rPr>
        <w:t>油箱的密封性能，应至少在以下环节进行试漏，</w:t>
      </w:r>
      <w:r>
        <w:rPr>
          <w:rFonts w:hint="eastAsia"/>
          <w:color w:val="000000" w:themeColor="text1"/>
          <w:szCs w:val="21"/>
          <w14:textFill>
            <w14:solidFill>
              <w14:schemeClr w14:val="tx1"/>
            </w14:solidFill>
          </w14:textFill>
        </w:rPr>
        <w:t>油箱试漏压力应与现场运行时油箱所承受的压力相匹配。</w:t>
      </w:r>
    </w:p>
    <w:p>
      <w:pPr>
        <w:spacing w:line="360" w:lineRule="auto"/>
        <w:ind w:firstLine="420" w:firstLineChars="200"/>
        <w:rPr>
          <w:rFonts w:cs="宋体" w:asciiTheme="minorEastAsia" w:hAnsiTheme="minorEastAsia"/>
          <w:color w:val="000000" w:themeColor="text1"/>
          <w:kern w:val="0"/>
          <w:szCs w:val="21"/>
          <w14:textFill>
            <w14:solidFill>
              <w14:schemeClr w14:val="tx1"/>
            </w14:solidFill>
          </w14:textFill>
        </w:rPr>
      </w:pPr>
      <w:r>
        <w:rPr>
          <w:rFonts w:hint="eastAsia" w:cs="宋体" w:asciiTheme="minorEastAsia" w:hAnsiTheme="minorEastAsia"/>
          <w:color w:val="000000" w:themeColor="text1"/>
          <w:kern w:val="0"/>
          <w:szCs w:val="21"/>
          <w14:textFill>
            <w14:solidFill>
              <w14:schemeClr w14:val="tx1"/>
            </w14:solidFill>
          </w14:textFill>
        </w:rPr>
        <w:t>a)油箱焊接后进行压力试漏，检漏压力不低于0.2MPa。</w:t>
      </w:r>
    </w:p>
    <w:p>
      <w:pPr>
        <w:spacing w:line="360" w:lineRule="auto"/>
        <w:ind w:firstLine="420" w:firstLineChars="200"/>
        <w:rPr>
          <w:rFonts w:cs="宋体" w:asciiTheme="minorEastAsia" w:hAnsiTheme="minorEastAsia"/>
          <w:color w:val="000000" w:themeColor="text1"/>
          <w:kern w:val="0"/>
          <w:szCs w:val="21"/>
          <w14:textFill>
            <w14:solidFill>
              <w14:schemeClr w14:val="tx1"/>
            </w14:solidFill>
          </w14:textFill>
        </w:rPr>
      </w:pPr>
      <w:r>
        <w:rPr>
          <w:rFonts w:hint="eastAsia" w:cs="宋体" w:asciiTheme="minorEastAsia" w:hAnsiTheme="minorEastAsia"/>
          <w:color w:val="000000" w:themeColor="text1"/>
          <w:kern w:val="0"/>
          <w:szCs w:val="21"/>
          <w14:textFill>
            <w14:solidFill>
              <w14:schemeClr w14:val="tx1"/>
            </w14:solidFill>
          </w14:textFill>
        </w:rPr>
        <w:t>b)电磁单元在脱气充氮工艺中进行真空检漏。</w:t>
      </w:r>
    </w:p>
    <w:p>
      <w:pPr>
        <w:spacing w:line="360" w:lineRule="auto"/>
        <w:ind w:firstLine="420" w:firstLineChars="200"/>
        <w:rPr>
          <w:color w:val="000000" w:themeColor="text1"/>
          <w:szCs w:val="21"/>
          <w14:textFill>
            <w14:solidFill>
              <w14:schemeClr w14:val="tx1"/>
            </w14:solidFill>
          </w14:textFill>
        </w:rPr>
      </w:pPr>
      <w:r>
        <w:rPr>
          <w:rFonts w:hint="eastAsia" w:cs="宋体" w:asciiTheme="minorEastAsia" w:hAnsiTheme="minorEastAsia"/>
          <w:color w:val="000000" w:themeColor="text1"/>
          <w:kern w:val="0"/>
          <w:szCs w:val="21"/>
          <w14:textFill>
            <w14:solidFill>
              <w14:schemeClr w14:val="tx1"/>
            </w14:solidFill>
          </w14:textFill>
        </w:rPr>
        <w:t>c)产品涂漆前热烘试漏及涂漆后的烘干检漏。</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8）油箱及附件环境腐蚀级别按照C4（ISO12944.2表1）执行，油漆的耐久性应为15年以上。油漆附着力ISO等级：1，制造厂应提供检测报告。</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5.3. 2  电容器元件卷制及心子压装、浸渍和装配</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1）电容器元件卷制及心子压装、装配应在净化室内进行。净化车间温度保持15~25℃，相对湿度：45%~55%，洁净度优于6级，要求每立方米空气中直径大于0.5μm的尘埃数不超过35粒。</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ascii="宋体" w:hAnsi="宋体"/>
          <w:color w:val="000000" w:themeColor="text1"/>
          <w:szCs w:val="21"/>
          <w14:textFill>
            <w14:solidFill>
              <w14:schemeClr w14:val="tx1"/>
            </w14:solidFill>
          </w14:textFill>
        </w:rPr>
        <w:t>薄膜、铝箔、电容器纸至少要求在净化间内</w:t>
      </w:r>
      <w:r>
        <w:rPr>
          <w:rFonts w:hint="eastAsia" w:ascii="宋体" w:hAnsi="宋体" w:cs="宋体"/>
          <w:color w:val="000000" w:themeColor="text1"/>
          <w:kern w:val="0"/>
          <w:szCs w:val="21"/>
          <w14:textFill>
            <w14:solidFill>
              <w14:schemeClr w14:val="tx1"/>
            </w14:solidFill>
          </w14:textFill>
        </w:rPr>
        <w:t>贮存</w:t>
      </w:r>
      <w:r>
        <w:rPr>
          <w:rFonts w:hint="eastAsia" w:ascii="宋体" w:hAnsi="宋体"/>
          <w:color w:val="000000" w:themeColor="text1"/>
          <w:szCs w:val="21"/>
          <w14:textFill>
            <w14:solidFill>
              <w14:schemeClr w14:val="tx1"/>
            </w14:solidFill>
          </w14:textFill>
        </w:rPr>
        <w:t>24h以上方能卷制，以避免因材料的温湿度差异造成元件卷制时产生</w:t>
      </w:r>
      <w:r>
        <w:rPr>
          <w:rFonts w:ascii="宋体" w:hAnsi="宋体"/>
          <w:color w:val="000000" w:themeColor="text1"/>
          <w:szCs w:val="21"/>
          <w14:textFill>
            <w14:solidFill>
              <w14:schemeClr w14:val="tx1"/>
            </w14:solidFill>
          </w14:textFill>
        </w:rPr>
        <w:t>褶皱</w:t>
      </w:r>
      <w:r>
        <w:rPr>
          <w:rFonts w:hint="eastAsia" w:ascii="宋体" w:hAnsi="宋体"/>
          <w:color w:val="000000" w:themeColor="text1"/>
          <w:szCs w:val="21"/>
          <w14:textFill>
            <w14:solidFill>
              <w14:schemeClr w14:val="tx1"/>
            </w14:solidFill>
          </w14:textFill>
        </w:rPr>
        <w:t>。</w:t>
      </w:r>
    </w:p>
    <w:p>
      <w:pPr>
        <w:spacing w:line="360" w:lineRule="auto"/>
        <w:ind w:firstLine="420" w:firstLineChars="200"/>
        <w:rPr>
          <w:color w:val="auto"/>
          <w:szCs w:val="21"/>
        </w:rPr>
      </w:pPr>
      <w:r>
        <w:rPr>
          <w:rFonts w:hint="eastAsia"/>
          <w:color w:val="000000" w:themeColor="text1"/>
          <w:szCs w:val="21"/>
          <w14:textFill>
            <w14:solidFill>
              <w14:schemeClr w14:val="tx1"/>
            </w14:solidFill>
          </w14:textFill>
        </w:rPr>
        <w:t>3）电容器元件应采用带张力控制的卷绕机卷制。卷绕机应精心调整，保证元件平整，压制后卷内无波浪形，</w:t>
      </w:r>
      <w:r>
        <w:rPr>
          <w:rFonts w:hint="eastAsia"/>
          <w:color w:val="auto"/>
          <w:szCs w:val="21"/>
        </w:rPr>
        <w:t>无死褶。</w:t>
      </w:r>
    </w:p>
    <w:p>
      <w:pPr>
        <w:spacing w:line="360" w:lineRule="auto"/>
        <w:ind w:firstLine="420" w:firstLineChars="200"/>
        <w:rPr>
          <w:color w:val="auto"/>
          <w:szCs w:val="21"/>
        </w:rPr>
      </w:pPr>
      <w:r>
        <w:rPr>
          <w:rFonts w:hint="eastAsia"/>
          <w:color w:val="auto"/>
          <w:szCs w:val="21"/>
        </w:rPr>
        <w:t>4）电容器元件卷绕机薄膜料轴附近宜加装静电消除器，以消除静电。</w:t>
      </w:r>
    </w:p>
    <w:p>
      <w:pPr>
        <w:spacing w:line="360" w:lineRule="auto"/>
        <w:ind w:firstLine="420" w:firstLineChars="200"/>
        <w:rPr>
          <w:color w:val="auto"/>
          <w:szCs w:val="21"/>
        </w:rPr>
      </w:pPr>
      <w:r>
        <w:rPr>
          <w:rFonts w:hint="eastAsia"/>
          <w:color w:val="auto"/>
          <w:szCs w:val="21"/>
        </w:rPr>
        <w:t>5）电容器心子压装应整齐一致，压紧系数控制在设计范围内。</w:t>
      </w:r>
    </w:p>
    <w:p>
      <w:pPr>
        <w:spacing w:line="360" w:lineRule="auto"/>
        <w:ind w:firstLine="420" w:firstLineChars="200"/>
        <w:rPr>
          <w:color w:val="auto"/>
          <w:szCs w:val="21"/>
        </w:rPr>
      </w:pPr>
      <w:r>
        <w:rPr>
          <w:rFonts w:hint="eastAsia"/>
          <w:color w:val="auto"/>
          <w:szCs w:val="21"/>
        </w:rPr>
        <w:t>6）电容器心子经</w:t>
      </w:r>
      <w:r>
        <w:rPr>
          <w:rFonts w:hint="eastAsia" w:ascii="宋体" w:hAnsi="宋体" w:cs="宋体"/>
          <w:color w:val="auto"/>
          <w:kern w:val="0"/>
          <w:szCs w:val="21"/>
        </w:rPr>
        <w:t>真空干燥处理后注油，真空度＜1Pa保持24h，宜采用单抽单注形式。</w:t>
      </w:r>
    </w:p>
    <w:p>
      <w:pPr>
        <w:pStyle w:val="271"/>
        <w:spacing w:line="360" w:lineRule="auto"/>
        <w:ind w:left="360" w:firstLine="0" w:firstLineChars="0"/>
        <w:rPr>
          <w:rFonts w:ascii="宋体" w:hAnsi="宋体" w:cs="宋体"/>
          <w:color w:val="auto"/>
          <w:kern w:val="0"/>
          <w:szCs w:val="21"/>
        </w:rPr>
      </w:pPr>
      <w:r>
        <w:rPr>
          <w:rFonts w:hint="eastAsia"/>
          <w:color w:val="auto"/>
          <w:szCs w:val="21"/>
        </w:rPr>
        <w:t>7）电容器心子浸渍应在适宜的温度下进行</w:t>
      </w:r>
      <w:r>
        <w:rPr>
          <w:rFonts w:hint="eastAsia" w:ascii="宋体" w:hAnsi="宋体" w:cs="宋体"/>
          <w:color w:val="auto"/>
          <w:kern w:val="0"/>
          <w:szCs w:val="21"/>
        </w:rPr>
        <w:t>，避免高温浸渍时导致薄膜发生收缩变形，引起元件内部褶皱。</w:t>
      </w:r>
    </w:p>
    <w:p>
      <w:pPr>
        <w:pStyle w:val="271"/>
        <w:spacing w:line="360" w:lineRule="auto"/>
        <w:ind w:left="360" w:firstLine="0" w:firstLineChars="0"/>
        <w:rPr>
          <w:rFonts w:ascii="宋体" w:hAnsi="宋体" w:cs="宋体"/>
          <w:color w:val="auto"/>
          <w:kern w:val="0"/>
          <w:szCs w:val="21"/>
        </w:rPr>
      </w:pPr>
      <w:r>
        <w:rPr>
          <w:rFonts w:hint="eastAsia" w:ascii="宋体" w:hAnsi="宋体" w:cs="宋体"/>
          <w:color w:val="auto"/>
          <w:kern w:val="0"/>
          <w:szCs w:val="21"/>
        </w:rPr>
        <w:t>8）引线片边缘应进行电场均匀化处理，宜在卷绕过程中卷入引线片，避免二次插入造成的人为损坏。</w:t>
      </w:r>
    </w:p>
    <w:p>
      <w:pPr>
        <w:pStyle w:val="271"/>
        <w:spacing w:line="360" w:lineRule="auto"/>
        <w:ind w:left="360" w:firstLine="0" w:firstLineChars="0"/>
        <w:rPr>
          <w:rFonts w:ascii="宋体" w:hAnsi="宋体" w:cs="宋体"/>
          <w:color w:val="auto"/>
          <w:kern w:val="0"/>
          <w:szCs w:val="21"/>
        </w:rPr>
      </w:pPr>
      <w:r>
        <w:rPr>
          <w:rFonts w:hint="eastAsia" w:ascii="宋体" w:hAnsi="宋体" w:cs="宋体"/>
          <w:color w:val="auto"/>
          <w:kern w:val="0"/>
          <w:szCs w:val="21"/>
        </w:rPr>
        <w:t>9）装配过程中合理控制密封圈压缩比，并确保密封胶圈处于限位槽位置，表面无损伤。</w:t>
      </w:r>
    </w:p>
    <w:p>
      <w:pPr>
        <w:pStyle w:val="152"/>
        <w:spacing w:line="360" w:lineRule="auto"/>
        <w:ind w:firstLine="0" w:firstLineChars="0"/>
        <w:rPr>
          <w:rFonts w:ascii="黑体" w:hAnsi="宋体" w:eastAsia="黑体"/>
          <w:color w:val="auto"/>
        </w:rPr>
      </w:pPr>
      <w:r>
        <w:rPr>
          <w:rFonts w:hint="eastAsia" w:ascii="黑体" w:hAnsi="宋体" w:eastAsia="黑体"/>
          <w:color w:val="auto"/>
        </w:rPr>
        <w:t>5.3. 3  电磁单元加工</w:t>
      </w:r>
    </w:p>
    <w:p>
      <w:pPr>
        <w:spacing w:line="360" w:lineRule="auto"/>
        <w:ind w:firstLine="420" w:firstLineChars="200"/>
        <w:rPr>
          <w:rFonts w:ascii="宋体" w:hAnsi="宋体" w:cs="宋体"/>
          <w:color w:val="auto"/>
          <w:kern w:val="0"/>
          <w:szCs w:val="21"/>
        </w:rPr>
      </w:pPr>
      <w:r>
        <w:rPr>
          <w:rFonts w:hint="eastAsia" w:ascii="宋体" w:hAnsi="宋体" w:cs="宋体"/>
          <w:color w:val="auto"/>
          <w:kern w:val="0"/>
          <w:szCs w:val="21"/>
        </w:rPr>
        <w:t>1）加工车间整洁干净，</w:t>
      </w:r>
      <w:r>
        <w:rPr>
          <w:rFonts w:hint="eastAsia"/>
          <w:color w:val="auto"/>
          <w:szCs w:val="21"/>
        </w:rPr>
        <w:t>环境温度8-32℃，湿度≤70%。</w:t>
      </w:r>
    </w:p>
    <w:p>
      <w:pPr>
        <w:spacing w:line="360" w:lineRule="auto"/>
        <w:ind w:firstLine="420" w:firstLineChars="200"/>
        <w:rPr>
          <w:color w:val="auto"/>
          <w:szCs w:val="21"/>
        </w:rPr>
      </w:pPr>
      <w:r>
        <w:rPr>
          <w:rFonts w:hint="eastAsia" w:ascii="宋体" w:hAnsi="宋体" w:cs="宋体"/>
          <w:color w:val="auto"/>
          <w:kern w:val="0"/>
          <w:szCs w:val="21"/>
        </w:rPr>
        <w:t>2）中间变压器</w:t>
      </w:r>
      <w:r>
        <w:rPr>
          <w:rFonts w:hint="eastAsia"/>
          <w:color w:val="auto"/>
          <w:szCs w:val="21"/>
        </w:rPr>
        <w:t>硅钢片剪切毛刺控制在0.02mm以下，对接接缝小于2mm，叠装完成后采用环氧玻璃丝带或聚酯带进行绑扎。</w:t>
      </w:r>
    </w:p>
    <w:p>
      <w:pPr>
        <w:spacing w:line="360" w:lineRule="auto"/>
        <w:ind w:firstLine="420" w:firstLineChars="200"/>
        <w:rPr>
          <w:color w:val="auto"/>
          <w:szCs w:val="21"/>
        </w:rPr>
      </w:pPr>
      <w:r>
        <w:rPr>
          <w:rFonts w:hint="eastAsia"/>
          <w:color w:val="auto"/>
          <w:szCs w:val="21"/>
        </w:rPr>
        <w:t>3）中间变压器线圈绕制采用带导线拉紧装置的绕线机进行，导线接头处强度不低于原导线强度，均应采取电场均匀化处理，导线绝缘包扎紧实、厚度均匀，表面处理光滑、无尖角毛刺。</w:t>
      </w:r>
    </w:p>
    <w:p>
      <w:pPr>
        <w:spacing w:line="360" w:lineRule="auto"/>
        <w:ind w:firstLine="420" w:firstLineChars="200"/>
        <w:rPr>
          <w:rFonts w:ascii="宋体" w:hAnsi="宋体" w:cs="宋体"/>
          <w:color w:val="auto"/>
          <w:kern w:val="0"/>
          <w:szCs w:val="21"/>
        </w:rPr>
      </w:pPr>
      <w:r>
        <w:rPr>
          <w:rFonts w:hint="eastAsia"/>
          <w:color w:val="auto"/>
          <w:szCs w:val="21"/>
        </w:rPr>
        <w:t>4）</w:t>
      </w:r>
      <w:r>
        <w:rPr>
          <w:rFonts w:hint="eastAsia" w:ascii="宋体" w:hAnsi="宋体" w:cs="宋体"/>
          <w:color w:val="auto"/>
          <w:kern w:val="0"/>
          <w:szCs w:val="21"/>
        </w:rPr>
        <w:t>中间变压器真空干燥处理后注油。产品所注油的绝缘油在注油前会进行脱水、脱气处理，注入油应满足介质损耗因数≤0.1%，微水≤15ppm，耐压≥60kV，并通过真空方式（40℃、30Pa）注入产品内部。</w:t>
      </w:r>
    </w:p>
    <w:p>
      <w:pPr>
        <w:spacing w:line="360" w:lineRule="auto"/>
        <w:ind w:firstLine="420" w:firstLineChars="200"/>
        <w:rPr>
          <w:rFonts w:ascii="宋体" w:hAnsi="宋体" w:cs="宋体"/>
          <w:color w:val="000000" w:themeColor="text1"/>
          <w:kern w:val="0"/>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5）电磁单元与电容分压器中压引线连接线应采取控制措施，保证不与低压部件触碰。</w:t>
      </w:r>
    </w:p>
    <w:p>
      <w:pPr>
        <w:spacing w:line="360" w:lineRule="auto"/>
        <w:ind w:firstLine="420" w:firstLineChars="200"/>
        <w:rPr>
          <w:rFonts w:ascii="宋体" w:hAnsi="宋体" w:cs="宋体"/>
          <w:color w:val="000000" w:themeColor="text1"/>
          <w:kern w:val="0"/>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6）电磁单元油箱内应充氮，使电磁单元油箱顶层空间内充满氮气，确保绝缘油耐氧化性。</w:t>
      </w:r>
    </w:p>
    <w:p>
      <w:pPr>
        <w:spacing w:line="360" w:lineRule="auto"/>
        <w:ind w:firstLine="420" w:firstLineChars="200"/>
        <w:rPr>
          <w:color w:val="000000" w:themeColor="text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7）产品在装配过程中，密封胶圈安装好后严格按照产品密封要求进行力矩紧固，紧固好后对密封螺栓进行标识确认。</w:t>
      </w:r>
    </w:p>
    <w:p>
      <w:pPr>
        <w:pStyle w:val="5"/>
        <w:numPr>
          <w:ilvl w:val="0"/>
          <w:numId w:val="0"/>
        </w:numPr>
        <w:rPr>
          <w:color w:val="000000" w:themeColor="text1"/>
          <w14:textFill>
            <w14:solidFill>
              <w14:schemeClr w14:val="tx1"/>
            </w14:solidFill>
          </w14:textFill>
        </w:rPr>
      </w:pPr>
      <w:bookmarkStart w:id="55" w:name="_Toc22390006"/>
      <w:r>
        <w:rPr>
          <w:rFonts w:hint="eastAsia"/>
          <w:color w:val="000000" w:themeColor="text1"/>
          <w14:textFill>
            <w14:solidFill>
              <w14:schemeClr w14:val="tx1"/>
            </w14:solidFill>
          </w14:textFill>
        </w:rPr>
        <w:t>5.4铭牌</w:t>
      </w:r>
      <w:bookmarkEnd w:id="55"/>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5.4.1电压互感器</w:t>
      </w:r>
      <w:r>
        <w:rPr>
          <w:color w:val="000000" w:themeColor="text1"/>
          <w14:textFill>
            <w14:solidFill>
              <w14:schemeClr w14:val="tx1"/>
            </w14:solidFill>
          </w14:textFill>
        </w:rPr>
        <w:t>应装有铭牌</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铭牌以中文表示，</w:t>
      </w:r>
      <w:r>
        <w:rPr>
          <w:rFonts w:hint="eastAsia"/>
          <w:color w:val="000000" w:themeColor="text1"/>
          <w14:textFill>
            <w14:solidFill>
              <w14:schemeClr w14:val="tx1"/>
            </w14:solidFill>
          </w14:textFill>
        </w:rPr>
        <w:t>采</w:t>
      </w:r>
      <w:r>
        <w:rPr>
          <w:color w:val="000000" w:themeColor="text1"/>
          <w14:textFill>
            <w14:solidFill>
              <w14:schemeClr w14:val="tx1"/>
            </w14:solidFill>
          </w14:textFill>
        </w:rPr>
        <w:t>用</w:t>
      </w:r>
      <w:r>
        <w:rPr>
          <w:rFonts w:hint="eastAsia"/>
          <w:color w:val="000000" w:themeColor="text1"/>
          <w14:textFill>
            <w14:solidFill>
              <w14:schemeClr w14:val="tx1"/>
            </w14:solidFill>
          </w14:textFill>
        </w:rPr>
        <w:t>亚光不锈钢</w:t>
      </w:r>
      <w:r>
        <w:rPr>
          <w:color w:val="000000" w:themeColor="text1"/>
          <w14:textFill>
            <w14:solidFill>
              <w14:schemeClr w14:val="tx1"/>
            </w14:solidFill>
          </w14:textFill>
        </w:rPr>
        <w:t>制成</w:t>
      </w:r>
      <w:r>
        <w:rPr>
          <w:rFonts w:hint="eastAsia"/>
          <w:color w:val="000000" w:themeColor="text1"/>
          <w14:textFill>
            <w14:solidFill>
              <w14:schemeClr w14:val="tx1"/>
            </w14:solidFill>
          </w14:textFill>
        </w:rPr>
        <w:t>，字样、符号应清晰耐久，铭牌在设备正常运行时其安装位置应明显可见</w:t>
      </w:r>
      <w:r>
        <w:rPr>
          <w:color w:val="000000" w:themeColor="text1"/>
          <w14:textFill>
            <w14:solidFill>
              <w14:schemeClr w14:val="tx1"/>
            </w14:solidFill>
          </w14:textFill>
        </w:rPr>
        <w:t>。铭牌上应表示下述各项</w:t>
      </w:r>
      <w:r>
        <w:rPr>
          <w:rFonts w:hint="eastAsia"/>
          <w:color w:val="000000" w:themeColor="text1"/>
          <w14:textFill>
            <w14:solidFill>
              <w14:schemeClr w14:val="tx1"/>
            </w14:solidFill>
          </w14:textFill>
        </w:rPr>
        <w:t>：</w:t>
      </w:r>
    </w:p>
    <w:p>
      <w:pPr>
        <w:spacing w:line="360" w:lineRule="auto"/>
        <w:ind w:firstLine="420" w:firstLineChars="20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1)制造厂名</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w:t>
      </w:r>
      <w:r>
        <w:rPr>
          <w:rFonts w:ascii="宋体" w:hAnsi="宋体"/>
          <w:color w:val="000000" w:themeColor="text1"/>
          <w14:textFill>
            <w14:solidFill>
              <w14:schemeClr w14:val="tx1"/>
            </w14:solidFill>
          </w14:textFill>
        </w:rPr>
        <w:t>)互感器名称</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3</w:t>
      </w:r>
      <w:r>
        <w:rPr>
          <w:rFonts w:ascii="宋体" w:hAnsi="宋体"/>
          <w:color w:val="000000" w:themeColor="text1"/>
          <w14:textFill>
            <w14:solidFill>
              <w14:schemeClr w14:val="tx1"/>
            </w14:solidFill>
          </w14:textFill>
        </w:rPr>
        <w:t>)互感器型号</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4</w:t>
      </w:r>
      <w:r>
        <w:rPr>
          <w:rFonts w:ascii="宋体" w:hAnsi="宋体"/>
          <w:color w:val="000000" w:themeColor="text1"/>
          <w14:textFill>
            <w14:solidFill>
              <w14:schemeClr w14:val="tx1"/>
            </w14:solidFill>
          </w14:textFill>
        </w:rPr>
        <w:t>)标准代号</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5</w:t>
      </w:r>
      <w:r>
        <w:rPr>
          <w:rFonts w:ascii="宋体" w:hAnsi="宋体"/>
          <w:color w:val="000000" w:themeColor="text1"/>
          <w14:textFill>
            <w14:solidFill>
              <w14:schemeClr w14:val="tx1"/>
            </w14:solidFill>
          </w14:textFill>
        </w:rPr>
        <w:t>)</w:t>
      </w:r>
      <w:r>
        <w:rPr>
          <w:rFonts w:eastAsia="宋体" w:cs="Times New Roman"/>
          <w:szCs w:val="21"/>
        </w:rPr>
        <w:t>额定一次和二次电压和剩余绕组（如果有）额定电压。</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w:t>
      </w:r>
      <w:r>
        <w:rPr>
          <w:rFonts w:ascii="宋体" w:hAnsi="宋体"/>
          <w:color w:val="000000" w:themeColor="text1"/>
          <w14:textFill>
            <w14:solidFill>
              <w14:schemeClr w14:val="tx1"/>
            </w14:solidFill>
          </w14:textFill>
        </w:rPr>
        <w:t>)设备最高电压</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7</w:t>
      </w:r>
      <w:r>
        <w:rPr>
          <w:rFonts w:ascii="宋体" w:hAnsi="宋体"/>
          <w:color w:val="000000" w:themeColor="text1"/>
          <w14:textFill>
            <w14:solidFill>
              <w14:schemeClr w14:val="tx1"/>
            </w14:solidFill>
          </w14:textFill>
        </w:rPr>
        <w:t>)额定绝缘水平</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8</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标出允许使用的最高海拔</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9</w:t>
      </w:r>
      <w:r>
        <w:rPr>
          <w:rFonts w:ascii="宋体" w:hAnsi="宋体"/>
          <w:color w:val="000000" w:themeColor="text1"/>
          <w14:textFill>
            <w14:solidFill>
              <w14:schemeClr w14:val="tx1"/>
            </w14:solidFill>
          </w14:textFill>
        </w:rPr>
        <w:t>)带有两个及以上分开的二次绕组时，应标明每一绕组的额定电压、</w:t>
      </w:r>
      <w:r>
        <w:rPr>
          <w:rFonts w:hint="eastAsia" w:ascii="宋体" w:hAnsi="宋体"/>
          <w:color w:val="000000" w:themeColor="text1"/>
          <w14:textFill>
            <w14:solidFill>
              <w14:schemeClr w14:val="tx1"/>
            </w14:solidFill>
          </w14:textFill>
        </w:rPr>
        <w:t>热极限输出、额定输出容量</w:t>
      </w:r>
      <w:r>
        <w:rPr>
          <w:rFonts w:ascii="宋体" w:hAnsi="宋体"/>
          <w:color w:val="000000" w:themeColor="text1"/>
          <w14:textFill>
            <w14:solidFill>
              <w14:schemeClr w14:val="tx1"/>
            </w14:solidFill>
          </w14:textFill>
        </w:rPr>
        <w:t>和其相应的准确级。</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lang w:val="en-US" w:eastAsia="zh-CN"/>
          <w14:textFill>
            <w14:solidFill>
              <w14:schemeClr w14:val="tx1"/>
            </w14:solidFill>
          </w14:textFill>
        </w:rPr>
        <w:t>1</w:t>
      </w:r>
      <w:r>
        <w:rPr>
          <w:rFonts w:hint="eastAsia" w:ascii="宋体" w:hAnsi="宋体"/>
          <w:color w:val="000000" w:themeColor="text1"/>
          <w14:textFill>
            <w14:solidFill>
              <w14:schemeClr w14:val="tx1"/>
            </w14:solidFill>
          </w14:textFill>
        </w:rPr>
        <w:t>0</w:t>
      </w:r>
      <w:r>
        <w:rPr>
          <w:rFonts w:ascii="宋体" w:hAnsi="宋体"/>
          <w:color w:val="000000" w:themeColor="text1"/>
          <w14:textFill>
            <w14:solidFill>
              <w14:schemeClr w14:val="tx1"/>
            </w14:solidFill>
          </w14:textFill>
        </w:rPr>
        <w:t>)互感器的总重。</w:t>
      </w:r>
    </w:p>
    <w:p>
      <w:pPr>
        <w:spacing w:line="360" w:lineRule="auto"/>
        <w:ind w:firstLine="420" w:firstLineChars="20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1</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电容分压器的额定电容及实测值</w:t>
      </w:r>
    </w:p>
    <w:p>
      <w:pPr>
        <w:spacing w:line="360" w:lineRule="auto"/>
        <w:ind w:firstLine="420" w:firstLineChars="20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2</w:t>
      </w:r>
      <w:r>
        <w:rPr>
          <w:rFonts w:ascii="宋体" w:hAnsi="宋体"/>
          <w:color w:val="000000" w:themeColor="text1"/>
          <w14:textFill>
            <w14:solidFill>
              <w14:schemeClr w14:val="tx1"/>
            </w14:solidFill>
          </w14:textFill>
        </w:rPr>
        <w:t>)电容分压器</w:t>
      </w:r>
      <w:r>
        <w:rPr>
          <w:rFonts w:hint="eastAsia" w:ascii="宋体" w:hAnsi="宋体"/>
          <w:color w:val="000000" w:themeColor="text1"/>
          <w14:textFill>
            <w14:solidFill>
              <w14:schemeClr w14:val="tx1"/>
            </w14:solidFill>
          </w14:textFill>
        </w:rPr>
        <w:t>各</w:t>
      </w:r>
      <w:r>
        <w:rPr>
          <w:rFonts w:ascii="宋体" w:hAnsi="宋体"/>
          <w:color w:val="000000" w:themeColor="text1"/>
          <w14:textFill>
            <w14:solidFill>
              <w14:schemeClr w14:val="tx1"/>
            </w14:solidFill>
          </w14:textFill>
        </w:rPr>
        <w:t>电容器单元的编号</w:t>
      </w:r>
      <w:r>
        <w:rPr>
          <w:rFonts w:hint="eastAsia" w:ascii="宋体" w:hAnsi="宋体"/>
          <w:color w:val="000000" w:themeColor="text1"/>
          <w14:textFill>
            <w14:solidFill>
              <w14:schemeClr w14:val="tx1"/>
            </w14:solidFill>
          </w14:textFill>
        </w:rPr>
        <w:t>及电容额定值及实测值</w:t>
      </w:r>
    </w:p>
    <w:p>
      <w:pPr>
        <w:spacing w:line="360" w:lineRule="auto"/>
        <w:ind w:firstLine="420" w:firstLineChars="20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3</w:t>
      </w:r>
      <w:r>
        <w:rPr>
          <w:rFonts w:ascii="宋体" w:hAnsi="宋体"/>
          <w:color w:val="000000" w:themeColor="text1"/>
          <w14:textFill>
            <w14:solidFill>
              <w14:schemeClr w14:val="tx1"/>
            </w14:solidFill>
          </w14:textFill>
        </w:rPr>
        <w:t>)出厂序号</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14</w:t>
      </w:r>
      <w:r>
        <w:rPr>
          <w:rFonts w:ascii="宋体" w:hAnsi="宋体"/>
          <w:color w:val="000000" w:themeColor="text1"/>
          <w14:textFill>
            <w14:solidFill>
              <w14:schemeClr w14:val="tx1"/>
            </w14:solidFill>
          </w14:textFill>
        </w:rPr>
        <w:t>)制造年月</w:t>
      </w:r>
    </w:p>
    <w:p>
      <w:pPr>
        <w:spacing w:line="360" w:lineRule="auto"/>
        <w:ind w:firstLine="435"/>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15</w:t>
      </w:r>
      <w:r>
        <w:rPr>
          <w:rFonts w:ascii="宋体" w:hAnsi="宋体"/>
          <w:color w:val="000000" w:themeColor="text1"/>
          <w14:textFill>
            <w14:solidFill>
              <w14:schemeClr w14:val="tx1"/>
            </w14:solidFill>
          </w14:textFill>
        </w:rPr>
        <w:t>)外绝缘爬距</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w:t>
      </w:r>
      <w:r>
        <w:rPr>
          <w:rFonts w:hint="eastAsia" w:ascii="宋体" w:hAnsi="宋体"/>
          <w:color w:val="000000" w:themeColor="text1"/>
          <w:lang w:val="en-US" w:eastAsia="zh-CN"/>
          <w14:textFill>
            <w14:solidFill>
              <w14:schemeClr w14:val="tx1"/>
            </w14:solidFill>
          </w14:textFill>
        </w:rPr>
        <w:t>6</w:t>
      </w:r>
      <w:r>
        <w:rPr>
          <w:rFonts w:hint="eastAsia" w:ascii="宋体" w:hAnsi="宋体"/>
          <w:color w:val="000000" w:themeColor="text1"/>
          <w14:textFill>
            <w14:solidFill>
              <w14:schemeClr w14:val="tx1"/>
            </w14:solidFill>
          </w14:textFill>
        </w:rPr>
        <w:t>)电气原理接线图</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5.4.2电容分压器各单元</w:t>
      </w:r>
      <w:r>
        <w:rPr>
          <w:color w:val="000000" w:themeColor="text1"/>
          <w14:textFill>
            <w14:solidFill>
              <w14:schemeClr w14:val="tx1"/>
            </w14:solidFill>
          </w14:textFill>
        </w:rPr>
        <w:t>应装有铭牌</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铭牌以中文表示，</w:t>
      </w:r>
      <w:r>
        <w:rPr>
          <w:rFonts w:hint="eastAsia"/>
          <w:color w:val="000000" w:themeColor="text1"/>
          <w14:textFill>
            <w14:solidFill>
              <w14:schemeClr w14:val="tx1"/>
            </w14:solidFill>
          </w14:textFill>
        </w:rPr>
        <w:t>采</w:t>
      </w:r>
      <w:r>
        <w:rPr>
          <w:color w:val="000000" w:themeColor="text1"/>
          <w14:textFill>
            <w14:solidFill>
              <w14:schemeClr w14:val="tx1"/>
            </w14:solidFill>
          </w14:textFill>
        </w:rPr>
        <w:t>用</w:t>
      </w:r>
      <w:r>
        <w:rPr>
          <w:rFonts w:hint="eastAsia"/>
          <w:color w:val="000000" w:themeColor="text1"/>
          <w14:textFill>
            <w14:solidFill>
              <w14:schemeClr w14:val="tx1"/>
            </w14:solidFill>
          </w14:textFill>
        </w:rPr>
        <w:t>亚光不锈钢</w:t>
      </w:r>
      <w:r>
        <w:rPr>
          <w:color w:val="000000" w:themeColor="text1"/>
          <w14:textFill>
            <w14:solidFill>
              <w14:schemeClr w14:val="tx1"/>
            </w14:solidFill>
          </w14:textFill>
        </w:rPr>
        <w:t>制成</w:t>
      </w:r>
      <w:r>
        <w:rPr>
          <w:rFonts w:hint="eastAsia"/>
          <w:color w:val="000000" w:themeColor="text1"/>
          <w14:textFill>
            <w14:solidFill>
              <w14:schemeClr w14:val="tx1"/>
            </w14:solidFill>
          </w14:textFill>
        </w:rPr>
        <w:t>，字样、符号应清晰耐久</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铭牌</w:t>
      </w:r>
      <w:r>
        <w:rPr>
          <w:color w:val="000000" w:themeColor="text1"/>
          <w14:textFill>
            <w14:solidFill>
              <w14:schemeClr w14:val="tx1"/>
            </w14:solidFill>
          </w14:textFill>
        </w:rPr>
        <w:t>应表示下述各项</w:t>
      </w:r>
      <w:r>
        <w:rPr>
          <w:rFonts w:hint="eastAsia"/>
          <w:color w:val="000000" w:themeColor="text1"/>
          <w14:textFill>
            <w14:solidFill>
              <w14:schemeClr w14:val="tx1"/>
            </w14:solidFill>
          </w14:textFill>
        </w:rPr>
        <w:t>：</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1）制造单位名称</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2）制造的序号和年份</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3）实测电容（含分压电容实测电容值）</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4）额定电压</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5）质量</w:t>
      </w:r>
    </w:p>
    <w:p>
      <w:pPr>
        <w:spacing w:line="360" w:lineRule="auto"/>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6）型号</w:t>
      </w:r>
    </w:p>
    <w:p>
      <w:pPr>
        <w:pStyle w:val="5"/>
        <w:numPr>
          <w:ilvl w:val="0"/>
          <w:numId w:val="0"/>
        </w:numPr>
        <w:rPr>
          <w:color w:val="000000" w:themeColor="text1"/>
          <w14:textFill>
            <w14:solidFill>
              <w14:schemeClr w14:val="tx1"/>
            </w14:solidFill>
          </w14:textFill>
        </w:rPr>
      </w:pPr>
      <w:bookmarkStart w:id="56" w:name="_Toc22390007"/>
      <w:r>
        <w:rPr>
          <w:rFonts w:hint="eastAsia"/>
          <w:color w:val="000000" w:themeColor="text1"/>
          <w14:textFill>
            <w14:solidFill>
              <w14:schemeClr w14:val="tx1"/>
            </w14:solidFill>
          </w14:textFill>
        </w:rPr>
        <w:t>5.5 质量追溯</w:t>
      </w:r>
      <w:bookmarkEnd w:id="56"/>
    </w:p>
    <w:p>
      <w:p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产品制造过程中的重要环节应有详细记录，便于质量过程可追溯。</w:t>
      </w:r>
    </w:p>
    <w:p>
      <w:pPr>
        <w:pStyle w:val="5"/>
        <w:numPr>
          <w:ilvl w:val="0"/>
          <w:numId w:val="0"/>
        </w:numPr>
        <w:rPr>
          <w:color w:val="000000" w:themeColor="text1"/>
          <w14:textFill>
            <w14:solidFill>
              <w14:schemeClr w14:val="tx1"/>
            </w14:solidFill>
          </w14:textFill>
        </w:rPr>
      </w:pPr>
      <w:bookmarkStart w:id="57" w:name="_Toc22390008"/>
      <w:r>
        <w:rPr>
          <w:rFonts w:hint="eastAsia"/>
          <w:color w:val="000000" w:themeColor="text1"/>
          <w14:textFill>
            <w14:solidFill>
              <w14:schemeClr w14:val="tx1"/>
            </w14:solidFill>
          </w14:textFill>
        </w:rPr>
        <w:t>5.6 关于对检修的要求</w:t>
      </w:r>
      <w:bookmarkEnd w:id="57"/>
    </w:p>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5.6.1 供应商对设备及部件的检修周期要求不得短于南方电网公司《电力设备检修试验规程》要求的周期。</w:t>
      </w:r>
    </w:p>
    <w:p>
      <w:p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南方电网公司《电力设备检修试验规程》要求的主要零部件及本体的检修周期如下（示例）：</w:t>
      </w:r>
    </w:p>
    <w:tbl>
      <w:tblPr>
        <w:tblStyle w:val="83"/>
        <w:tblW w:w="91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437"/>
        <w:gridCol w:w="798"/>
        <w:gridCol w:w="1106"/>
        <w:gridCol w:w="3967"/>
        <w:gridCol w:w="12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blHeade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序号</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项目</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类别</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周期</w:t>
            </w:r>
          </w:p>
        </w:tc>
        <w:tc>
          <w:tcPr>
            <w:tcW w:w="396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要求</w:t>
            </w:r>
          </w:p>
        </w:tc>
        <w:tc>
          <w:tcPr>
            <w:tcW w:w="122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外观检查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1）外绝缘表面清洁、无裂纹及放电痕迹</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2）金属部位无锈蚀</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3）设备外涂漆层清洁、无大面积掉漆</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红外测温</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1）具体按DL/T664《带电设备红外诊断应用规范》执行</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2）重点检查导电连接部位</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油位检查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油位正常</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4</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渗漏油检查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分压电容器及电磁单元无渗漏油</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5</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声响和振动检查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无异常声响、振动</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二次电压测量</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二次电压无异常波动</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7</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分压电容器低压端子检查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C1</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1个月</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电容分压器低压端子(N、J)必须通过载波回路线圈接地或直接接地</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8</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红外测温</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C2</w:t>
            </w:r>
          </w:p>
        </w:tc>
        <w:tc>
          <w:tcPr>
            <w:tcW w:w="110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1）1年</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2）怀疑有故障时</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1）具体按DL/T664《带电设备红外诊断应用规范》执行</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2）重点检查设备本体，无整体或局部过热现象，相间温差不超过2~3K，重点关注电压致热型设备缺陷</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9</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瓷套检查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 清扫瓷套，检查瓷套完好、无裂纹、无破损</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2）增爬裙粘着牢固，无龟裂老化现象</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3）检查防污涂层应无龟裂老化、起壳现象</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4）检查无渗漏油</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10</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电磁单元油箱和底座检查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1）油箱与底座的接缝焊接可靠，无渗漏油</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2）油箱油位正常</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3）清扫油箱，检查无锈蚀，漆膜完整</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11</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二次接线盒检查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1）检查二次接线盒应密封良好，无进水、凝露现象</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 检查二次接线板应完整，标志清晰，无裂纹、起皮、放电、发热痕迹</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 二次接线柱应清洁，无破损、渗漏，无放电烧伤痕迹</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12</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电压抽头接线盒检查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1）检查电压抽头接线盒应密封良好，无进水、凝露现象</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2）清扫接线柱，应无破损、渗漏，无放电烧伤痕迹</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13</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单独配置的阻尼器检查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阻尼器外观完好，接线牢靠</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14</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引流线检修</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kern w:val="0"/>
                <w:sz w:val="18"/>
                <w:szCs w:val="18"/>
                <w14:textFill>
                  <w14:solidFill>
                    <w14:schemeClr w14:val="tx1"/>
                  </w14:solidFill>
                </w14:textFill>
              </w:rPr>
            </w:pPr>
            <w:r>
              <w:rPr>
                <w:rFonts w:hint="eastAsia" w:ascii="宋体" w:hAnsi="宋体"/>
                <w:color w:val="000000" w:themeColor="text1"/>
                <w:kern w:val="0"/>
                <w:sz w:val="18"/>
                <w:szCs w:val="18"/>
                <w14:textFill>
                  <w14:solidFill>
                    <w14:schemeClr w14:val="tx1"/>
                  </w14:solidFill>
                </w14:textFill>
              </w:rPr>
              <w:t>1）检查接线端子连接部位，金具应完好、无变形、锈蚀，若有过热变色等异常应拆开连接部位检查处理接触面，并按标准力矩紧固螺栓</w:t>
            </w:r>
          </w:p>
          <w:p>
            <w:pPr>
              <w:spacing w:line="320" w:lineRule="exact"/>
              <w:rPr>
                <w:rFonts w:ascii="宋体" w:hAnsi="宋体"/>
                <w:color w:val="000000" w:themeColor="text1"/>
                <w:kern w:val="0"/>
                <w:sz w:val="18"/>
                <w:szCs w:val="18"/>
                <w14:textFill>
                  <w14:solidFill>
                    <w14:schemeClr w14:val="tx1"/>
                  </w14:solidFill>
                </w14:textFill>
              </w:rPr>
            </w:pPr>
            <w:r>
              <w:rPr>
                <w:rFonts w:hint="eastAsia" w:ascii="宋体" w:hAnsi="宋体"/>
                <w:color w:val="000000" w:themeColor="text1"/>
                <w:kern w:val="0"/>
                <w:sz w:val="18"/>
                <w:szCs w:val="18"/>
                <w14:textFill>
                  <w14:solidFill>
                    <w14:schemeClr w14:val="tx1"/>
                  </w14:solidFill>
                </w14:textFill>
              </w:rPr>
              <w:t>2）引线长度应适中，接线柱不应承受额外应力</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kern w:val="0"/>
                <w:sz w:val="18"/>
                <w:szCs w:val="18"/>
                <w14:textFill>
                  <w14:solidFill>
                    <w14:schemeClr w14:val="tx1"/>
                  </w14:solidFill>
                </w14:textFill>
              </w:rPr>
              <w:t>3）引流线无扭结、松股、断股或其它明显的损伤或严重腐蚀等缺陷</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15</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接地检查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B</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6年</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连接可靠，无严重锈蚀</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16</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电磁单元检查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A</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1）阻尼器各部件外观完好，无放电或过热烧损痕迹</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2）避雷器表面无放电痕迹，放电间隙无烧蚀</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3）补偿电抗器绕组表面清洁、无变色，无放电过热痕迹，铁心无松动</w:t>
            </w:r>
          </w:p>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4）中间变压器绕组表面清洁，无变形、位移，引线长短适宜，无扭曲，接头表面平整、清洁、光滑无毛刺</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必要时：如怀疑电磁单元有缺陷或吊开电磁单元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17</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电磁单元绝缘干燥</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A</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kern w:val="0"/>
                <w:sz w:val="18"/>
                <w:szCs w:val="18"/>
                <w14:textFill>
                  <w14:solidFill>
                    <w14:schemeClr w14:val="tx1"/>
                  </w14:solidFill>
                </w14:textFill>
              </w:rPr>
              <w:t>器身干燥标准，如干燥温度、干燥时间等应符合厂家技术要求</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必要时：如怀疑电磁单元受潮时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0"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18</w:t>
            </w:r>
          </w:p>
        </w:tc>
        <w:tc>
          <w:tcPr>
            <w:tcW w:w="1437"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电磁单元绝缘油处理</w:t>
            </w:r>
          </w:p>
        </w:tc>
        <w:tc>
          <w:tcPr>
            <w:tcW w:w="798"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A</w:t>
            </w:r>
          </w:p>
        </w:tc>
        <w:tc>
          <w:tcPr>
            <w:tcW w:w="1106" w:type="dxa"/>
            <w:vAlign w:val="center"/>
          </w:tcPr>
          <w:p>
            <w:pPr>
              <w:spacing w:line="320" w:lineRule="exact"/>
              <w:jc w:val="center"/>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w:t>
            </w:r>
          </w:p>
        </w:tc>
        <w:tc>
          <w:tcPr>
            <w:tcW w:w="3967"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过滤油或更换新油，注入互感器的绝缘油应符合</w:t>
            </w:r>
            <w:r>
              <w:rPr>
                <w:rFonts w:ascii="宋体" w:hAnsi="宋体"/>
                <w:color w:val="000000" w:themeColor="text1"/>
                <w:spacing w:val="2"/>
                <w:kern w:val="0"/>
                <w:sz w:val="18"/>
                <w:szCs w:val="18"/>
                <w14:textFill>
                  <w14:solidFill>
                    <w14:schemeClr w14:val="tx1"/>
                  </w14:solidFill>
                </w14:textFill>
              </w:rPr>
              <w:t>Q/CSG 1206007</w:t>
            </w:r>
            <w:r>
              <w:rPr>
                <w:rFonts w:hint="eastAsia" w:ascii="宋体" w:hAnsi="宋体"/>
                <w:color w:val="000000" w:themeColor="text1"/>
                <w:spacing w:val="2"/>
                <w:kern w:val="0"/>
                <w:sz w:val="18"/>
                <w:szCs w:val="18"/>
                <w14:textFill>
                  <w14:solidFill>
                    <w14:schemeClr w14:val="tx1"/>
                  </w14:solidFill>
                </w14:textFill>
              </w:rPr>
              <w:t>规定</w:t>
            </w:r>
          </w:p>
        </w:tc>
        <w:tc>
          <w:tcPr>
            <w:tcW w:w="1226" w:type="dxa"/>
            <w:vAlign w:val="center"/>
          </w:tcPr>
          <w:p>
            <w:pPr>
              <w:spacing w:line="320" w:lineRule="exact"/>
              <w:rPr>
                <w:rFonts w:ascii="宋体" w:hAnsi="宋体"/>
                <w:color w:val="000000" w:themeColor="text1"/>
                <w:spacing w:val="2"/>
                <w:kern w:val="0"/>
                <w:sz w:val="18"/>
                <w:szCs w:val="18"/>
                <w14:textFill>
                  <w14:solidFill>
                    <w14:schemeClr w14:val="tx1"/>
                  </w14:solidFill>
                </w14:textFill>
              </w:rPr>
            </w:pPr>
            <w:r>
              <w:rPr>
                <w:rFonts w:hint="eastAsia" w:ascii="宋体" w:hAnsi="宋体"/>
                <w:color w:val="000000" w:themeColor="text1"/>
                <w:spacing w:val="2"/>
                <w:kern w:val="0"/>
                <w:sz w:val="18"/>
                <w:szCs w:val="18"/>
                <w14:textFill>
                  <w14:solidFill>
                    <w14:schemeClr w14:val="tx1"/>
                  </w14:solidFill>
                </w14:textFill>
              </w:rPr>
              <w:t>必要时：如怀疑绝缘油有缺陷时</w:t>
            </w:r>
          </w:p>
        </w:tc>
      </w:tr>
    </w:tbl>
    <w:p>
      <w:pPr>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5.6.2 供应商应提供本体及主要部件的检修项目、检修工艺和检修周期。按照南方电网公司提供的维护检修手册模板，提供维护检修手册。</w:t>
      </w:r>
    </w:p>
    <w:p>
      <w:pPr>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对具有固定周期的项目，供应商建议的检修周期应比南方电网公司《电力设备检修规程》规定的检修周期长。</w:t>
      </w:r>
    </w:p>
    <w:bookmarkEnd w:id="39"/>
    <w:bookmarkEnd w:id="40"/>
    <w:bookmarkEnd w:id="41"/>
    <w:bookmarkEnd w:id="42"/>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58" w:name="_Toc282433752"/>
      <w:bookmarkStart w:id="59" w:name="_Toc282993296"/>
      <w:bookmarkStart w:id="60" w:name="_Toc22390009"/>
      <w:r>
        <w:rPr>
          <w:rFonts w:hint="eastAsia" w:ascii="黑体" w:hAnsi="黑体"/>
          <w:b/>
          <w:color w:val="000000" w:themeColor="text1"/>
          <w14:textFill>
            <w14:solidFill>
              <w14:schemeClr w14:val="tx1"/>
            </w14:solidFill>
          </w14:textFill>
        </w:rPr>
        <w:t xml:space="preserve">6 </w:t>
      </w:r>
      <w:bookmarkEnd w:id="24"/>
      <w:bookmarkEnd w:id="25"/>
      <w:bookmarkEnd w:id="26"/>
      <w:bookmarkEnd w:id="27"/>
      <w:bookmarkEnd w:id="28"/>
      <w:bookmarkEnd w:id="29"/>
      <w:bookmarkEnd w:id="30"/>
      <w:bookmarkEnd w:id="31"/>
      <w:bookmarkEnd w:id="32"/>
      <w:bookmarkEnd w:id="33"/>
      <w:bookmarkEnd w:id="34"/>
      <w:bookmarkEnd w:id="58"/>
      <w:bookmarkEnd w:id="59"/>
      <w:bookmarkStart w:id="61" w:name="_Toc384340926"/>
      <w:bookmarkEnd w:id="61"/>
      <w:bookmarkStart w:id="62" w:name="_Toc384341006"/>
      <w:bookmarkEnd w:id="62"/>
      <w:bookmarkStart w:id="63" w:name="_Toc384340989"/>
      <w:bookmarkEnd w:id="63"/>
      <w:bookmarkStart w:id="64" w:name="_Toc384341007"/>
      <w:bookmarkEnd w:id="64"/>
      <w:bookmarkStart w:id="65" w:name="_Toc384340939"/>
      <w:bookmarkEnd w:id="65"/>
      <w:bookmarkStart w:id="66" w:name="_Toc384340923"/>
      <w:bookmarkEnd w:id="66"/>
      <w:bookmarkStart w:id="67" w:name="_Toc384340997"/>
      <w:bookmarkEnd w:id="67"/>
      <w:bookmarkStart w:id="68" w:name="_Toc384340917"/>
      <w:bookmarkEnd w:id="68"/>
      <w:bookmarkStart w:id="69" w:name="_Toc384340929"/>
      <w:bookmarkEnd w:id="69"/>
      <w:bookmarkStart w:id="70" w:name="_Toc384340918"/>
      <w:bookmarkEnd w:id="70"/>
      <w:bookmarkStart w:id="71" w:name="_Toc384340928"/>
      <w:bookmarkEnd w:id="71"/>
      <w:bookmarkStart w:id="72" w:name="_Toc384340927"/>
      <w:bookmarkEnd w:id="72"/>
      <w:bookmarkStart w:id="73" w:name="_Toc384340994"/>
      <w:bookmarkEnd w:id="73"/>
      <w:bookmarkStart w:id="74" w:name="_Toc384340912"/>
      <w:bookmarkEnd w:id="74"/>
      <w:bookmarkStart w:id="75" w:name="_Toc384341008"/>
      <w:bookmarkEnd w:id="75"/>
      <w:bookmarkStart w:id="76" w:name="_Toc384341004"/>
      <w:bookmarkEnd w:id="76"/>
      <w:bookmarkStart w:id="77" w:name="_Toc384340999"/>
      <w:bookmarkEnd w:id="77"/>
      <w:bookmarkStart w:id="78" w:name="_Toc384341003"/>
      <w:bookmarkEnd w:id="78"/>
      <w:bookmarkStart w:id="79" w:name="_Toc384341013"/>
      <w:bookmarkEnd w:id="79"/>
      <w:bookmarkStart w:id="80" w:name="_Toc384340925"/>
      <w:bookmarkEnd w:id="80"/>
      <w:bookmarkStart w:id="81" w:name="_Toc384341012"/>
      <w:bookmarkEnd w:id="81"/>
      <w:bookmarkStart w:id="82" w:name="_Toc384341009"/>
      <w:bookmarkEnd w:id="82"/>
      <w:bookmarkStart w:id="83" w:name="_Toc384340987"/>
      <w:bookmarkEnd w:id="83"/>
      <w:bookmarkStart w:id="84" w:name="_Toc384340930"/>
      <w:bookmarkEnd w:id="84"/>
      <w:bookmarkStart w:id="85" w:name="_Toc384340913"/>
      <w:bookmarkEnd w:id="85"/>
      <w:bookmarkStart w:id="86" w:name="_Toc384340993"/>
      <w:bookmarkEnd w:id="86"/>
      <w:bookmarkStart w:id="87" w:name="_Toc384341015"/>
      <w:bookmarkEnd w:id="87"/>
      <w:bookmarkStart w:id="88" w:name="_Toc384341001"/>
      <w:bookmarkEnd w:id="88"/>
      <w:bookmarkStart w:id="89" w:name="_Toc384340937"/>
      <w:bookmarkEnd w:id="89"/>
      <w:bookmarkStart w:id="90" w:name="_Toc384340915"/>
      <w:bookmarkEnd w:id="90"/>
      <w:bookmarkStart w:id="91" w:name="_Toc384340988"/>
      <w:bookmarkEnd w:id="91"/>
      <w:bookmarkStart w:id="92" w:name="_Toc384341011"/>
      <w:bookmarkEnd w:id="92"/>
      <w:bookmarkStart w:id="93" w:name="_Toc384340991"/>
      <w:bookmarkEnd w:id="93"/>
      <w:bookmarkStart w:id="94" w:name="_Toc384341014"/>
      <w:bookmarkEnd w:id="94"/>
      <w:bookmarkStart w:id="95" w:name="_Toc384340919"/>
      <w:bookmarkEnd w:id="95"/>
      <w:bookmarkStart w:id="96" w:name="_Toc384340924"/>
      <w:bookmarkEnd w:id="96"/>
      <w:bookmarkStart w:id="97" w:name="_Toc384341000"/>
      <w:bookmarkEnd w:id="97"/>
      <w:bookmarkStart w:id="98" w:name="_Toc384340996"/>
      <w:bookmarkEnd w:id="98"/>
      <w:bookmarkStart w:id="99" w:name="_Toc384340990"/>
      <w:bookmarkEnd w:id="99"/>
      <w:bookmarkStart w:id="100" w:name="_Toc384340938"/>
      <w:bookmarkEnd w:id="100"/>
      <w:bookmarkStart w:id="101" w:name="_Toc384340935"/>
      <w:bookmarkEnd w:id="101"/>
      <w:bookmarkStart w:id="102" w:name="_Toc384340931"/>
      <w:bookmarkEnd w:id="102"/>
      <w:bookmarkStart w:id="103" w:name="_Toc384340920"/>
      <w:bookmarkEnd w:id="103"/>
      <w:bookmarkStart w:id="104" w:name="_Toc384340998"/>
      <w:bookmarkEnd w:id="104"/>
      <w:bookmarkStart w:id="105" w:name="_Toc384341005"/>
      <w:bookmarkEnd w:id="105"/>
      <w:bookmarkStart w:id="106" w:name="_Toc384340911"/>
      <w:bookmarkEnd w:id="106"/>
      <w:bookmarkStart w:id="107" w:name="_Toc384341010"/>
      <w:bookmarkEnd w:id="107"/>
      <w:bookmarkStart w:id="108" w:name="_Toc384340932"/>
      <w:bookmarkEnd w:id="108"/>
      <w:bookmarkStart w:id="109" w:name="_Toc384340995"/>
      <w:bookmarkEnd w:id="109"/>
      <w:bookmarkStart w:id="110" w:name="_Toc384340922"/>
      <w:bookmarkEnd w:id="110"/>
      <w:bookmarkStart w:id="111" w:name="_Toc384340933"/>
      <w:bookmarkEnd w:id="111"/>
      <w:bookmarkStart w:id="112" w:name="_Toc384340934"/>
      <w:bookmarkEnd w:id="112"/>
      <w:bookmarkStart w:id="113" w:name="_Toc384340914"/>
      <w:bookmarkEnd w:id="113"/>
      <w:bookmarkStart w:id="114" w:name="_Toc384340936"/>
      <w:bookmarkEnd w:id="114"/>
      <w:bookmarkStart w:id="115" w:name="_Toc384340921"/>
      <w:bookmarkEnd w:id="115"/>
      <w:bookmarkStart w:id="116" w:name="_Toc384341002"/>
      <w:bookmarkEnd w:id="116"/>
      <w:bookmarkStart w:id="117" w:name="_Toc271281212"/>
      <w:bookmarkStart w:id="118" w:name="_Toc384341016"/>
      <w:bookmarkStart w:id="119" w:name="_Toc388022579"/>
      <w:bookmarkStart w:id="120" w:name="_Toc282993301"/>
      <w:bookmarkStart w:id="121" w:name="_Toc279695721"/>
      <w:bookmarkStart w:id="122" w:name="_Toc276490905"/>
      <w:bookmarkStart w:id="123" w:name="_Toc276492417"/>
      <w:r>
        <w:rPr>
          <w:rFonts w:hint="eastAsia" w:ascii="黑体" w:hAnsi="黑体" w:eastAsia="黑体"/>
          <w:b/>
          <w:color w:val="000000" w:themeColor="text1"/>
          <w:sz w:val="21"/>
          <w:szCs w:val="21"/>
          <w14:textFill>
            <w14:solidFill>
              <w14:schemeClr w14:val="tx1"/>
            </w14:solidFill>
          </w14:textFill>
        </w:rPr>
        <w:t>试验</w:t>
      </w:r>
      <w:bookmarkEnd w:id="60"/>
      <w:bookmarkEnd w:id="117"/>
      <w:bookmarkEnd w:id="118"/>
      <w:bookmarkEnd w:id="119"/>
      <w:bookmarkEnd w:id="120"/>
      <w:bookmarkEnd w:id="121"/>
      <w:bookmarkEnd w:id="122"/>
      <w:bookmarkEnd w:id="123"/>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试验应按照本标准和相关标准有关条款进行，并符合下列要求：</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试验应出具详细记载测试数据的正式试验报告。</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运行单位代表有权见证所有试验和要求提供所有试验报告。</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制造厂的工厂试验应按现场实际方式预组装后进行，试验顺序按照GB/T20840.5规定执行，其余项目可自行调整。</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24" w:name="_Toc282993302"/>
      <w:bookmarkStart w:id="125" w:name="_Toc279695722"/>
      <w:bookmarkStart w:id="126" w:name="_Toc22390010"/>
      <w:bookmarkStart w:id="127" w:name="_Toc384341017"/>
      <w:bookmarkStart w:id="128" w:name="_Toc279494181"/>
      <w:r>
        <w:rPr>
          <w:rFonts w:hint="eastAsia" w:ascii="黑体" w:hAnsi="黑体"/>
          <w:color w:val="000000" w:themeColor="text1"/>
          <w14:textFill>
            <w14:solidFill>
              <w14:schemeClr w14:val="tx1"/>
            </w14:solidFill>
          </w14:textFill>
        </w:rPr>
        <w:t>6.1试验分类</w:t>
      </w:r>
      <w:bookmarkEnd w:id="124"/>
      <w:bookmarkEnd w:id="125"/>
      <w:bookmarkEnd w:id="126"/>
      <w:bookmarkEnd w:id="127"/>
      <w:bookmarkEnd w:id="128"/>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试验类型包括型式试验、例行试验、交接试验。</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型式试验是在一台有代表性的电容式电压互感器上所进行的试验，以证明被代表的电容式电压互感器也符合规定要求。如果电容式电压互感器在额定值和结构方面完全相同，则认为其中一台可以代表。若一台电容式电压互感器在额定值或其他特性与其余电容式电压互感器的差异不大时，对其所做的型式试验也可认为有效，其差异应由制造厂和用户协商确定。制造厂提供的型式试验报告应在有效期内。</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例行试验为每台电容式电压互感器都要进行的试验。</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交接试验为电容式电压互感器安装完毕后进行的现场试验。</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29" w:name="_Toc279695723"/>
      <w:bookmarkEnd w:id="129"/>
      <w:bookmarkStart w:id="130" w:name="_Toc282993303"/>
      <w:bookmarkStart w:id="131" w:name="_Toc279695724"/>
      <w:bookmarkStart w:id="132" w:name="_Toc384341018"/>
      <w:bookmarkStart w:id="133" w:name="_Toc22390011"/>
      <w:r>
        <w:rPr>
          <w:rFonts w:hint="eastAsia" w:ascii="黑体" w:hAnsi="黑体"/>
          <w:color w:val="000000" w:themeColor="text1"/>
          <w14:textFill>
            <w14:solidFill>
              <w14:schemeClr w14:val="tx1"/>
            </w14:solidFill>
          </w14:textFill>
        </w:rPr>
        <w:t>6.2型式试验</w:t>
      </w:r>
      <w:bookmarkEnd w:id="130"/>
      <w:bookmarkEnd w:id="131"/>
      <w:bookmarkEnd w:id="132"/>
      <w:bookmarkEnd w:id="133"/>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型式试验包括：</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1）温升试验（按照GB/T 20840.1和GB/T20840.5规定执行，每批次、同型号产品抽检一台）</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2）工频电容和tan</w:t>
      </w:r>
      <w:r>
        <w:rPr>
          <w:rFonts w:hint="eastAsia" w:ascii="宋体" w:hAnsi="宋体" w:eastAsia="宋体"/>
          <w:color w:val="000000" w:themeColor="text1"/>
          <w:sz w:val="21"/>
          <w14:textFill>
            <w14:solidFill>
              <w14:schemeClr w14:val="tx1"/>
            </w14:solidFill>
          </w14:textFill>
        </w:rPr>
        <w:t>δ</w:t>
      </w:r>
      <w:r>
        <w:rPr>
          <w:rFonts w:hint="eastAsia" w:ascii="宋体" w:eastAsia="宋体"/>
          <w:color w:val="000000" w:themeColor="text1"/>
          <w:sz w:val="21"/>
          <w14:textFill>
            <w14:solidFill>
              <w14:schemeClr w14:val="tx1"/>
            </w14:solidFill>
          </w14:textFill>
        </w:rPr>
        <w:t>测量（按照GB/T20840.5规定执行）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3）截断雷电冲击试验（按照GB</w:t>
      </w:r>
      <w:r>
        <w:rPr>
          <w:rFonts w:ascii="宋体" w:eastAsia="宋体"/>
          <w:color w:val="000000" w:themeColor="text1"/>
          <w:sz w:val="21"/>
          <w14:textFill>
            <w14:solidFill>
              <w14:schemeClr w14:val="tx1"/>
            </w14:solidFill>
          </w14:textFill>
        </w:rPr>
        <w:t xml:space="preserve">/T </w:t>
      </w:r>
      <w:r>
        <w:rPr>
          <w:rFonts w:hint="eastAsia" w:ascii="宋体" w:eastAsia="宋体"/>
          <w:color w:val="000000" w:themeColor="text1"/>
          <w:sz w:val="21"/>
          <w14:textFill>
            <w14:solidFill>
              <w14:schemeClr w14:val="tx1"/>
            </w14:solidFill>
          </w14:textFill>
        </w:rPr>
        <w:t>20840.1和GB/T20840.5规定执行）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4）无线电干扰电压试验（适用于Um≥126kV，按照GB/T11604规定执行）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5） 短路承受能力试验（按照GB/T20840.5规定执行）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6）额定雷电冲击试验（按照GB/T16927.1和GB/T20840.规定执行）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7） 操作冲击湿试验（适用于Um≥300kV，按照GB/T16927.1和GB/T20840.5规定执行）</w:t>
      </w:r>
    </w:p>
    <w:p>
      <w:pPr>
        <w:pStyle w:val="164"/>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8）</w:t>
      </w:r>
      <w:r>
        <w:rPr>
          <w:rFonts w:hint="eastAsia"/>
          <w:color w:val="000000" w:themeColor="text1"/>
          <w:sz w:val="21"/>
          <w14:textFill>
            <w14:solidFill>
              <w14:schemeClr w14:val="tx1"/>
            </w14:solidFill>
          </w14:textFill>
        </w:rPr>
        <w:t>工频湿耐压试验（适用于Um＜300kV，按照GB/T16927.1和GB/T20840.5规定执行）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9） 暂态响应试验（仅适用于保护用电压互感器，按照GB/T20840.5规定执行）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10）铁磁谐振试验（按照GB/T20840.5规定执行）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11）准确度试验（按照GB/T20840.5规定执行）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12）抗震试验（按照GB50260规定执行）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供应商应提供抗震计算报告或开展抗震试验。</w:t>
      </w:r>
    </w:p>
    <w:p>
      <w:pPr>
        <w:pStyle w:val="306"/>
        <w:spacing w:line="360" w:lineRule="auto"/>
        <w:ind w:firstLine="420" w:firstLineChars="200"/>
        <w:jc w:val="both"/>
        <w:rPr>
          <w:rFonts w:ascii="宋体" w:eastAsia="宋体"/>
          <w:color w:val="000000" w:themeColor="text1"/>
          <w:sz w:val="21"/>
          <w14:textFill>
            <w14:solidFill>
              <w14:schemeClr w14:val="tx1"/>
            </w14:solidFill>
          </w14:textFill>
        </w:rPr>
      </w:pPr>
      <w:bookmarkStart w:id="134" w:name="_Toc279695740"/>
      <w:bookmarkEnd w:id="134"/>
      <w:r>
        <w:rPr>
          <w:rFonts w:hint="eastAsia" w:ascii="宋体" w:eastAsia="宋体"/>
          <w:color w:val="000000" w:themeColor="text1"/>
          <w:sz w:val="21"/>
          <w14:textFill>
            <w14:solidFill>
              <w14:schemeClr w14:val="tx1"/>
            </w14:solidFill>
          </w14:textFill>
        </w:rPr>
        <w:t>13）传递过电压测量（按照GB</w:t>
      </w:r>
      <w:r>
        <w:rPr>
          <w:rFonts w:ascii="宋体" w:eastAsia="宋体"/>
          <w:color w:val="000000" w:themeColor="text1"/>
          <w:sz w:val="21"/>
          <w14:textFill>
            <w14:solidFill>
              <w14:schemeClr w14:val="tx1"/>
            </w14:solidFill>
          </w14:textFill>
        </w:rPr>
        <w:t>/T</w:t>
      </w:r>
      <w:r>
        <w:rPr>
          <w:rFonts w:hint="eastAsia" w:ascii="宋体" w:eastAsia="宋体"/>
          <w:color w:val="000000" w:themeColor="text1"/>
          <w:sz w:val="21"/>
          <w14:textFill>
            <w14:solidFill>
              <w14:schemeClr w14:val="tx1"/>
            </w14:solidFill>
          </w14:textFill>
        </w:rPr>
        <w:t>20840.1规定执行）</w:t>
      </w:r>
    </w:p>
    <w:p>
      <w:pPr>
        <w:pStyle w:val="306"/>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14） 机械强度试验（按照GB</w:t>
      </w:r>
      <w:r>
        <w:rPr>
          <w:rFonts w:ascii="宋体" w:eastAsia="宋体"/>
          <w:color w:val="000000" w:themeColor="text1"/>
          <w:sz w:val="21"/>
          <w14:textFill>
            <w14:solidFill>
              <w14:schemeClr w14:val="tx1"/>
            </w14:solidFill>
          </w14:textFill>
        </w:rPr>
        <w:t>/T</w:t>
      </w:r>
      <w:r>
        <w:rPr>
          <w:rFonts w:hint="eastAsia" w:ascii="宋体" w:eastAsia="宋体"/>
          <w:color w:val="000000" w:themeColor="text1"/>
          <w:sz w:val="21"/>
          <w14:textFill>
            <w14:solidFill>
              <w14:schemeClr w14:val="tx1"/>
            </w14:solidFill>
          </w14:textFill>
        </w:rPr>
        <w:t>20840.1规定执行）</w:t>
      </w:r>
    </w:p>
    <w:p>
      <w:pPr>
        <w:pStyle w:val="306"/>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15） 温度系数测定（根据GB/T19749规定执行）</w:t>
      </w:r>
    </w:p>
    <w:p>
      <w:pPr>
        <w:spacing w:line="360" w:lineRule="auto"/>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16）电容器单元密封设计试验（按照</w:t>
      </w:r>
      <w:r>
        <w:rPr>
          <w:rFonts w:ascii="宋体"/>
          <w:color w:val="000000" w:themeColor="text1"/>
          <w:kern w:val="0"/>
          <w:szCs w:val="20"/>
          <w14:textFill>
            <w14:solidFill>
              <w14:schemeClr w14:val="tx1"/>
            </w14:solidFill>
          </w14:textFill>
        </w:rPr>
        <w:t>GB/T20840.5</w:t>
      </w:r>
      <w:r>
        <w:rPr>
          <w:rFonts w:hint="eastAsia"/>
          <w:color w:val="000000" w:themeColor="text1"/>
          <w14:textFill>
            <w14:solidFill>
              <w14:schemeClr w14:val="tx1"/>
            </w14:solidFill>
          </w14:textFill>
        </w:rPr>
        <w:t>规定执行）</w:t>
      </w:r>
    </w:p>
    <w:p>
      <w:pPr>
        <w:spacing w:line="360" w:lineRule="auto"/>
        <w:ind w:firstLine="420" w:firstLineChars="200"/>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17）外壳防护等级的检验</w:t>
      </w:r>
    </w:p>
    <w:p>
      <w:pPr>
        <w:pStyle w:val="303"/>
        <w:spacing w:line="360" w:lineRule="auto"/>
        <w:ind w:left="420" w:leftChars="200"/>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供应商提交同类设备的型式试验报告。</w:t>
      </w:r>
    </w:p>
    <w:p>
      <w:pPr>
        <w:spacing w:line="360" w:lineRule="auto"/>
        <w:ind w:firstLine="420" w:firstLineChars="200"/>
        <w:rPr>
          <w:color w:val="000000" w:themeColor="text1"/>
          <w14:textFill>
            <w14:solidFill>
              <w14:schemeClr w14:val="tx1"/>
            </w14:solidFill>
          </w14:textFill>
        </w:rPr>
      </w:pP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35" w:name="_Toc22390012"/>
      <w:r>
        <w:rPr>
          <w:rFonts w:hint="eastAsia" w:ascii="黑体" w:hAnsi="黑体"/>
          <w:color w:val="000000" w:themeColor="text1"/>
          <w14:textFill>
            <w14:solidFill>
              <w14:schemeClr w14:val="tx1"/>
            </w14:solidFill>
          </w14:textFill>
        </w:rPr>
        <w:t>6.4</w:t>
      </w:r>
      <w:bookmarkStart w:id="136" w:name="_Toc279695757"/>
      <w:bookmarkEnd w:id="136"/>
      <w:bookmarkStart w:id="137" w:name="_Toc384340945"/>
      <w:bookmarkEnd w:id="137"/>
      <w:bookmarkStart w:id="138" w:name="_Toc384340944"/>
      <w:bookmarkEnd w:id="138"/>
      <w:bookmarkStart w:id="139" w:name="_Toc384341021"/>
      <w:bookmarkEnd w:id="139"/>
      <w:bookmarkStart w:id="140" w:name="_Toc384341020"/>
      <w:bookmarkEnd w:id="140"/>
      <w:bookmarkStart w:id="141" w:name="_Toc388022584"/>
      <w:bookmarkStart w:id="142" w:name="_Toc279695758"/>
      <w:bookmarkStart w:id="143" w:name="_Toc282993305"/>
      <w:bookmarkStart w:id="144" w:name="_Toc384341022"/>
      <w:r>
        <w:rPr>
          <w:rFonts w:hint="eastAsia" w:ascii="黑体" w:hAnsi="黑体"/>
          <w:color w:val="000000" w:themeColor="text1"/>
          <w14:textFill>
            <w14:solidFill>
              <w14:schemeClr w14:val="tx1"/>
            </w14:solidFill>
          </w14:textFill>
        </w:rPr>
        <w:t>例行试验</w:t>
      </w:r>
      <w:bookmarkEnd w:id="135"/>
      <w:bookmarkEnd w:id="141"/>
      <w:bookmarkEnd w:id="142"/>
      <w:bookmarkEnd w:id="143"/>
      <w:bookmarkEnd w:id="144"/>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6.4.1电磁单元试验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1）密封性能试验(包括电容分压器和电磁单元)</w:t>
      </w:r>
    </w:p>
    <w:p>
      <w:pPr>
        <w:pStyle w:val="307"/>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按照GB</w:t>
      </w:r>
      <w:r>
        <w:rPr>
          <w:rFonts w:ascii="宋体" w:eastAsia="宋体"/>
          <w:color w:val="000000" w:themeColor="text1"/>
          <w:sz w:val="21"/>
          <w14:textFill>
            <w14:solidFill>
              <w14:schemeClr w14:val="tx1"/>
            </w14:solidFill>
          </w14:textFill>
        </w:rPr>
        <w:t>/T</w:t>
      </w:r>
      <w:r>
        <w:rPr>
          <w:rFonts w:hint="eastAsia" w:ascii="宋体" w:eastAsia="宋体"/>
          <w:color w:val="000000" w:themeColor="text1"/>
          <w:sz w:val="21"/>
          <w14:textFill>
            <w14:solidFill>
              <w14:schemeClr w14:val="tx1"/>
            </w14:solidFill>
          </w14:textFill>
        </w:rPr>
        <w:t>20840.1和GB/T20840.5规定执行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2）电磁单元短时工频耐受试验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试验方法按照GB/T20840.5规定执行。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3）补偿电抗器及中压回路低压端子短时工频耐受试验</w:t>
      </w:r>
    </w:p>
    <w:p>
      <w:pPr>
        <w:pStyle w:val="164"/>
        <w:spacing w:line="360" w:lineRule="auto"/>
        <w:rPr>
          <w:color w:val="000000" w:themeColor="text1"/>
          <w14:textFill>
            <w14:solidFill>
              <w14:schemeClr w14:val="tx1"/>
            </w14:solidFill>
          </w14:textFill>
        </w:rPr>
      </w:pPr>
      <w:r>
        <w:rPr>
          <w:rFonts w:hint="eastAsia"/>
          <w:color w:val="000000" w:themeColor="text1"/>
          <w:sz w:val="21"/>
          <w14:textFill>
            <w14:solidFill>
              <w14:schemeClr w14:val="tx1"/>
            </w14:solidFill>
          </w14:textFill>
        </w:rPr>
        <w:t>试验方法按照GB/T20840.5规定执行。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4）中间变压器空载损耗和空载电流测量</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在工频耐压试验前后进行试验，试验方法按照JB/T501规定执行，空载损耗变化量不超过10%。</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5）绝缘油性能试验</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油中微水按照GB/T7600规定执行，介质损耗因数测量按照GB/T5654规定执行，击穿电压测量按照GB/T507规定执行。</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绝缘油参数要求详见专用条款。</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6.4.2电容分压器试验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1）密封性能试验</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 xml:space="preserve"> 按照GB</w:t>
      </w:r>
      <w:r>
        <w:rPr>
          <w:rFonts w:ascii="宋体" w:eastAsia="宋体"/>
          <w:color w:val="000000" w:themeColor="text1"/>
          <w:sz w:val="21"/>
          <w14:textFill>
            <w14:solidFill>
              <w14:schemeClr w14:val="tx1"/>
            </w14:solidFill>
          </w14:textFill>
        </w:rPr>
        <w:t>/T</w:t>
      </w:r>
      <w:r>
        <w:rPr>
          <w:rFonts w:hint="eastAsia" w:ascii="宋体" w:eastAsia="宋体"/>
          <w:color w:val="000000" w:themeColor="text1"/>
          <w:sz w:val="21"/>
          <w14:textFill>
            <w14:solidFill>
              <w14:schemeClr w14:val="tx1"/>
            </w14:solidFill>
          </w14:textFill>
        </w:rPr>
        <w:t>20840.1和GB/T20840.5规定执行。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2）工频电容和tanδ测量</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在工频耐压试验前后进行试验，电容量变化应不超过一个电容器元件的电容值。</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tanδ应在10kV和额定电压下与电容量测量同时进行。对于膜纸介质电容器单元，tanδ值不应超过0.15%。</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试验方法按照GB/T20840.5规定执行。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3）电容器短时工频耐受试验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试验方法按照GB/T20840.5规定执行。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4）低压端子短时工频耐受试验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 xml:space="preserve">   试验时电磁单元不断开，具体试验方法按照GB/T20840.5规定执行。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 xml:space="preserve"> 5）局部放电测量</w:t>
      </w:r>
    </w:p>
    <w:p>
      <w:pPr>
        <w:pStyle w:val="307"/>
        <w:spacing w:line="360" w:lineRule="auto"/>
        <w:ind w:firstLine="525" w:firstLineChars="25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应在电容分压器短时工频耐受试验后进行，局部放电测量试验时间应延长到5min。</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局部部放电试验适用于完整的电容分压器，试验时电磁单元可不接入，试验方法按照GB</w:t>
      </w:r>
      <w:r>
        <w:rPr>
          <w:rFonts w:ascii="宋体" w:eastAsia="宋体"/>
          <w:color w:val="000000" w:themeColor="text1"/>
          <w:sz w:val="21"/>
          <w14:textFill>
            <w14:solidFill>
              <w14:schemeClr w14:val="tx1"/>
            </w14:solidFill>
          </w14:textFill>
        </w:rPr>
        <w:t>/T</w:t>
      </w:r>
      <w:r>
        <w:rPr>
          <w:rFonts w:hint="eastAsia" w:ascii="宋体" w:eastAsia="宋体"/>
          <w:color w:val="000000" w:themeColor="text1"/>
          <w:sz w:val="21"/>
          <w14:textFill>
            <w14:solidFill>
              <w14:schemeClr w14:val="tx1"/>
            </w14:solidFill>
          </w14:textFill>
        </w:rPr>
        <w:t>20840.1和GB/T20840.5规定执行。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ascii="宋体" w:eastAsia="宋体"/>
          <w:color w:val="000000" w:themeColor="text1"/>
          <w:sz w:val="21"/>
          <w14:textFill>
            <w14:solidFill>
              <w14:schemeClr w14:val="tx1"/>
            </w14:solidFill>
          </w14:textFill>
        </w:rPr>
        <w:t>6)</w:t>
      </w:r>
      <w:r>
        <w:rPr>
          <w:rFonts w:hint="eastAsia" w:ascii="宋体" w:eastAsia="宋体"/>
          <w:color w:val="000000" w:themeColor="text1"/>
          <w:sz w:val="21"/>
          <w14:textFill>
            <w14:solidFill>
              <w14:schemeClr w14:val="tx1"/>
            </w14:solidFill>
          </w14:textFill>
        </w:rPr>
        <w:t xml:space="preserve"> 爬电距离和干弧距离检查并计算比值</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6.4.3整体试验</w:t>
      </w:r>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color w:val="000000" w:themeColor="text1"/>
          <w14:textFill>
            <w14:solidFill>
              <w14:schemeClr w14:val="tx1"/>
            </w14:solidFill>
          </w14:textFill>
        </w:rPr>
        <w:t>1）端子标志检验</w:t>
      </w:r>
    </w:p>
    <w:p>
      <w:pPr>
        <w:pStyle w:val="307"/>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端子标志符合DL/T1251规定。</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2）铁磁谐振检验</w:t>
      </w:r>
    </w:p>
    <w:p>
      <w:pPr>
        <w:pStyle w:val="307"/>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进行0.8Upr、1.0 Upr、1.2 Upr及1.5 Upr（非有效接地系统时1.9Upr）的铁磁谐振试验，每个电压下至少进行3次。</w:t>
      </w:r>
    </w:p>
    <w:p>
      <w:pPr>
        <w:pStyle w:val="307"/>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具体试验方法和试验程序按照GB/T20840.5规定执行</w:t>
      </w:r>
    </w:p>
    <w:p>
      <w:pPr>
        <w:pStyle w:val="307"/>
        <w:spacing w:line="360" w:lineRule="auto"/>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3）准确度检验</w:t>
      </w:r>
    </w:p>
    <w:p>
      <w:pPr>
        <w:pStyle w:val="307"/>
        <w:spacing w:line="360" w:lineRule="auto"/>
        <w:ind w:firstLine="420" w:firstLineChars="200"/>
        <w:jc w:val="both"/>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按照GB/T20840.5规定执行</w:t>
      </w:r>
    </w:p>
    <w:p>
      <w:pPr>
        <w:pStyle w:val="164"/>
        <w:rPr>
          <w:color w:val="000000" w:themeColor="text1"/>
          <w14:textFill>
            <w14:solidFill>
              <w14:schemeClr w14:val="tx1"/>
            </w14:solidFill>
          </w14:textFill>
        </w:rPr>
      </w:pPr>
      <w:r>
        <w:rPr>
          <w:rFonts w:hint="eastAsia"/>
          <w:color w:val="000000" w:themeColor="text1"/>
          <w14:textFill>
            <w14:solidFill>
              <w14:schemeClr w14:val="tx1"/>
            </w14:solidFill>
          </w14:textFill>
        </w:rPr>
        <w:t>4) 低电压下变比及电容量的测量</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45" w:name="_Toc279695899"/>
      <w:bookmarkEnd w:id="145"/>
      <w:bookmarkStart w:id="146" w:name="_Toc278728930"/>
      <w:bookmarkEnd w:id="146"/>
      <w:bookmarkStart w:id="147" w:name="_Toc384341023"/>
      <w:bookmarkStart w:id="148" w:name="_Toc279695900"/>
      <w:bookmarkStart w:id="149" w:name="_Toc22390013"/>
      <w:bookmarkStart w:id="150" w:name="_Toc282993330"/>
      <w:r>
        <w:rPr>
          <w:rFonts w:hint="eastAsia" w:ascii="黑体" w:hAnsi="黑体"/>
          <w:color w:val="000000" w:themeColor="text1"/>
          <w14:textFill>
            <w14:solidFill>
              <w14:schemeClr w14:val="tx1"/>
            </w14:solidFill>
          </w14:textFill>
        </w:rPr>
        <w:t>6.5交接试验</w:t>
      </w:r>
      <w:bookmarkEnd w:id="147"/>
      <w:bookmarkEnd w:id="148"/>
      <w:bookmarkEnd w:id="149"/>
      <w:bookmarkEnd w:id="150"/>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具体要求按GB50150和本技术规范书规定执行。</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6.5.1 出线端子标志检验</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6.5.2 绝缘电阻测量</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6.5.3 电容量和介质损耗因数测量试验</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6.5.4 二次绕组直流电阻测量</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6.5.5 密封性能检查</w:t>
      </w:r>
    </w:p>
    <w:p>
      <w:pPr>
        <w:pStyle w:val="308"/>
        <w:spacing w:line="360" w:lineRule="auto"/>
        <w:rPr>
          <w:rFonts w:ascii="宋体" w:eastAsia="宋体"/>
          <w:color w:val="000000" w:themeColor="text1"/>
          <w:sz w:val="21"/>
          <w14:textFill>
            <w14:solidFill>
              <w14:schemeClr w14:val="tx1"/>
            </w14:solidFill>
          </w14:textFill>
        </w:rPr>
      </w:pPr>
      <w:r>
        <w:rPr>
          <w:rFonts w:hint="eastAsia" w:ascii="宋体" w:eastAsia="宋体"/>
          <w:color w:val="000000" w:themeColor="text1"/>
          <w:sz w:val="21"/>
          <w14:textFill>
            <w14:solidFill>
              <w14:schemeClr w14:val="tx1"/>
            </w14:solidFill>
          </w14:textFill>
        </w:rPr>
        <w:t>6.5.6 准确度测定</w:t>
      </w:r>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151" w:name="_Toc279696001"/>
      <w:bookmarkStart w:id="152" w:name="_Toc276492422"/>
      <w:bookmarkStart w:id="153" w:name="_Toc276490910"/>
      <w:bookmarkStart w:id="154" w:name="_Toc282993354"/>
      <w:bookmarkStart w:id="155" w:name="_Toc22390014"/>
      <w:bookmarkStart w:id="156" w:name="_Toc384341024"/>
      <w:r>
        <w:rPr>
          <w:rFonts w:hint="eastAsia" w:ascii="黑体" w:hAnsi="黑体" w:eastAsia="黑体"/>
          <w:b/>
          <w:color w:val="000000" w:themeColor="text1"/>
          <w:sz w:val="21"/>
          <w:szCs w:val="21"/>
          <w14:textFill>
            <w14:solidFill>
              <w14:schemeClr w14:val="tx1"/>
            </w14:solidFill>
          </w14:textFill>
        </w:rPr>
        <w:t>7 产品对环境的影响</w:t>
      </w:r>
      <w:bookmarkEnd w:id="151"/>
      <w:bookmarkEnd w:id="152"/>
      <w:bookmarkEnd w:id="153"/>
      <w:bookmarkEnd w:id="154"/>
      <w:bookmarkEnd w:id="155"/>
      <w:bookmarkEnd w:id="156"/>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1）坚持以资源节约型和环境友好型的原则，同时应考虑降低投资成本和提高运行经济性。</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2）应对噪声、工频电场和磁场、高频电磁波、通信干扰等方面采取必要的防治措施，并满足国家相关标准的要求。</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3）推广采用高可靠性、小型化和节能型设备。</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4）优先选用损耗低的产品。</w:t>
      </w:r>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157" w:name="_Toc279695206"/>
      <w:bookmarkStart w:id="158" w:name="_Toc282993358"/>
      <w:bookmarkStart w:id="159" w:name="_Toc282433757"/>
      <w:bookmarkStart w:id="160" w:name="_Toc22390015"/>
      <w:bookmarkStart w:id="161" w:name="_Toc384341028"/>
      <w:r>
        <w:rPr>
          <w:rFonts w:hint="eastAsia" w:ascii="黑体" w:hAnsi="黑体" w:eastAsia="黑体"/>
          <w:b/>
          <w:color w:val="000000" w:themeColor="text1"/>
          <w:sz w:val="21"/>
          <w:szCs w:val="21"/>
          <w14:textFill>
            <w14:solidFill>
              <w14:schemeClr w14:val="tx1"/>
            </w14:solidFill>
          </w14:textFill>
        </w:rPr>
        <w:t>8 技术文件</w:t>
      </w:r>
      <w:bookmarkEnd w:id="157"/>
      <w:bookmarkEnd w:id="158"/>
      <w:bookmarkEnd w:id="159"/>
      <w:r>
        <w:rPr>
          <w:rFonts w:hint="eastAsia" w:ascii="黑体" w:hAnsi="黑体" w:eastAsia="黑体"/>
          <w:b/>
          <w:color w:val="000000" w:themeColor="text1"/>
          <w:sz w:val="21"/>
          <w:szCs w:val="21"/>
          <w14:textFill>
            <w14:solidFill>
              <w14:schemeClr w14:val="tx1"/>
            </w14:solidFill>
          </w14:textFill>
        </w:rPr>
        <w:t>要求</w:t>
      </w:r>
      <w:bookmarkEnd w:id="160"/>
      <w:bookmarkEnd w:id="161"/>
    </w:p>
    <w:p>
      <w:pPr>
        <w:adjustRightInd w:val="0"/>
        <w:snapToGrid w:val="0"/>
        <w:spacing w:line="360" w:lineRule="auto"/>
        <w:rPr>
          <w:rFonts w:ascii="黑体" w:hAnsi="黑体" w:eastAsia="黑体"/>
          <w:color w:val="000000" w:themeColor="text1"/>
          <w14:textFill>
            <w14:solidFill>
              <w14:schemeClr w14:val="tx1"/>
            </w14:solidFill>
          </w14:textFill>
        </w:rPr>
      </w:pPr>
      <w:bookmarkStart w:id="162" w:name="_Toc384341029"/>
      <w:r>
        <w:rPr>
          <w:rFonts w:hint="eastAsia" w:ascii="黑体" w:hAnsi="黑体" w:eastAsia="黑体"/>
          <w:color w:val="000000" w:themeColor="text1"/>
          <w14:textFill>
            <w14:solidFill>
              <w14:schemeClr w14:val="tx1"/>
            </w14:solidFill>
          </w14:textFill>
        </w:rPr>
        <w:t>8.1一般要求</w:t>
      </w:r>
      <w:bookmarkEnd w:id="162"/>
    </w:p>
    <w:p>
      <w:pPr>
        <w:adjustRightInd w:val="0"/>
        <w:snapToGrid w:val="0"/>
        <w:spacing w:line="360" w:lineRule="auto"/>
        <w:rPr>
          <w:color w:val="000000" w:themeColor="text1"/>
          <w14:textFill>
            <w14:solidFill>
              <w14:schemeClr w14:val="tx1"/>
            </w14:solidFill>
          </w14:textFill>
        </w:rPr>
      </w:pPr>
      <w:bookmarkStart w:id="163" w:name="_Toc384341030"/>
      <w:r>
        <w:rPr>
          <w:rFonts w:hint="eastAsia"/>
          <w:color w:val="000000" w:themeColor="text1"/>
          <w14:textFill>
            <w14:solidFill>
              <w14:schemeClr w14:val="tx1"/>
            </w14:solidFill>
          </w14:textFill>
        </w:rPr>
        <w:t xml:space="preserve">8.1.1 </w:t>
      </w:r>
      <w:r>
        <w:rPr>
          <w:color w:val="000000" w:themeColor="text1"/>
          <w14:textFill>
            <w14:solidFill>
              <w14:schemeClr w14:val="tx1"/>
            </w14:solidFill>
          </w14:textFill>
        </w:rPr>
        <w:t>供应商提供的</w:t>
      </w:r>
      <w:r>
        <w:rPr>
          <w:rFonts w:hint="eastAsia"/>
          <w:color w:val="000000" w:themeColor="text1"/>
          <w14:textFill>
            <w14:solidFill>
              <w14:schemeClr w14:val="tx1"/>
            </w14:solidFill>
          </w14:textFill>
        </w:rPr>
        <w:t>图纸、</w:t>
      </w:r>
      <w:r>
        <w:rPr>
          <w:color w:val="000000" w:themeColor="text1"/>
          <w14:textFill>
            <w14:solidFill>
              <w14:schemeClr w14:val="tx1"/>
            </w14:solidFill>
          </w14:textFill>
        </w:rPr>
        <w:t>资料</w:t>
      </w:r>
      <w:r>
        <w:rPr>
          <w:rFonts w:hint="eastAsia"/>
          <w:color w:val="000000" w:themeColor="text1"/>
          <w14:textFill>
            <w14:solidFill>
              <w14:schemeClr w14:val="tx1"/>
            </w14:solidFill>
          </w14:textFill>
        </w:rPr>
        <w:t>、文件</w:t>
      </w:r>
      <w:r>
        <w:rPr>
          <w:color w:val="000000" w:themeColor="text1"/>
          <w14:textFill>
            <w14:solidFill>
              <w14:schemeClr w14:val="tx1"/>
            </w14:solidFill>
          </w14:textFill>
        </w:rPr>
        <w:t>应使用国家法定单位制即国际单位制，语言为中文。</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8.1.2</w:t>
      </w:r>
      <w:r>
        <w:rPr>
          <w:color w:val="000000" w:themeColor="text1"/>
          <w14:textFill>
            <w14:solidFill>
              <w14:schemeClr w14:val="tx1"/>
            </w14:solidFill>
          </w14:textFill>
        </w:rPr>
        <w:t>资料的组织结构清晰、逻辑性强。资料内容</w:t>
      </w:r>
      <w:r>
        <w:rPr>
          <w:rFonts w:hint="eastAsia"/>
          <w:color w:val="000000" w:themeColor="text1"/>
          <w14:textFill>
            <w14:solidFill>
              <w14:schemeClr w14:val="tx1"/>
            </w14:solidFill>
          </w14:textFill>
        </w:rPr>
        <w:t>要</w:t>
      </w:r>
      <w:r>
        <w:rPr>
          <w:color w:val="000000" w:themeColor="text1"/>
          <w14:textFill>
            <w14:solidFill>
              <w14:schemeClr w14:val="tx1"/>
            </w14:solidFill>
          </w14:textFill>
        </w:rPr>
        <w:t>正确、准确、一致、清晰、完整，满足工程要求。</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8.1.3</w:t>
      </w:r>
      <w:r>
        <w:rPr>
          <w:color w:val="000000" w:themeColor="text1"/>
          <w14:textFill>
            <w14:solidFill>
              <w14:schemeClr w14:val="tx1"/>
            </w14:solidFill>
          </w14:textFill>
        </w:rPr>
        <w:t>对于其它没有列入合同技术资料清单，却是工程所必需的文件和资料，一经发现，供应商也应及时免费提供。如</w:t>
      </w:r>
      <w:r>
        <w:rPr>
          <w:rFonts w:hint="eastAsia"/>
          <w:color w:val="000000" w:themeColor="text1"/>
          <w14:textFill>
            <w14:solidFill>
              <w14:schemeClr w14:val="tx1"/>
            </w14:solidFill>
          </w14:textFill>
        </w:rPr>
        <w:t>项目</w:t>
      </w:r>
      <w:r>
        <w:rPr>
          <w:color w:val="000000" w:themeColor="text1"/>
          <w14:textFill>
            <w14:solidFill>
              <w14:schemeClr w14:val="tx1"/>
            </w14:solidFill>
          </w14:textFill>
        </w:rPr>
        <w:t>工程为多台设备构成，后续设备有改进时，供应商应及时免费提供新的技术资料。</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8.1.4</w:t>
      </w:r>
      <w:r>
        <w:rPr>
          <w:color w:val="000000" w:themeColor="text1"/>
          <w14:textFill>
            <w14:solidFill>
              <w14:schemeClr w14:val="tx1"/>
            </w14:solidFill>
          </w14:textFill>
        </w:rPr>
        <w:t>“工厂图纸”包括制造、装配、安装和布置图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接线图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材料和设备的清单或表格</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标准图</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设计计算书</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说明书</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样本</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小册子</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特性图表、试验报告</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绕组的照片以及涉及到与材料、设备有关的图纸和说明等。</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8.1.5</w:t>
      </w:r>
      <w:r>
        <w:rPr>
          <w:color w:val="000000" w:themeColor="text1"/>
          <w14:textFill>
            <w14:solidFill>
              <w14:schemeClr w14:val="tx1"/>
            </w14:solidFill>
          </w14:textFill>
        </w:rPr>
        <w:t>供应商应将“工厂图纸”提交给招标方审查认可。未经审查认可, 不得进行备料和工厂生产。</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8.1.6 供应商应在40年整体使用寿命期限内，提供设备所需备品备件。</w:t>
      </w:r>
    </w:p>
    <w:p>
      <w:pPr>
        <w:adjustRightInd w:val="0"/>
        <w:snapToGrid w:val="0"/>
        <w:spacing w:line="360" w:lineRule="auto"/>
        <w:rPr>
          <w:rFonts w:ascii="黑体" w:hAnsi="黑体" w:eastAsia="黑体"/>
          <w:color w:val="000000" w:themeColor="text1"/>
          <w14:textFill>
            <w14:solidFill>
              <w14:schemeClr w14:val="tx1"/>
            </w14:solidFill>
          </w14:textFill>
        </w:rPr>
      </w:pPr>
      <w:r>
        <w:rPr>
          <w:rFonts w:hint="eastAsia" w:ascii="黑体" w:hAnsi="黑体" w:eastAsia="黑体"/>
          <w:color w:val="000000" w:themeColor="text1"/>
          <w14:textFill>
            <w14:solidFill>
              <w14:schemeClr w14:val="tx1"/>
            </w14:solidFill>
          </w14:textFill>
        </w:rPr>
        <w:t xml:space="preserve">8.2 </w:t>
      </w:r>
      <w:r>
        <w:rPr>
          <w:rFonts w:ascii="黑体" w:hAnsi="黑体" w:eastAsia="黑体"/>
          <w:color w:val="000000" w:themeColor="text1"/>
          <w14:textFill>
            <w14:solidFill>
              <w14:schemeClr w14:val="tx1"/>
            </w14:solidFill>
          </w14:textFill>
        </w:rPr>
        <w:t>供应商</w:t>
      </w:r>
      <w:r>
        <w:rPr>
          <w:rFonts w:hint="eastAsia" w:ascii="黑体" w:hAnsi="黑体" w:eastAsia="黑体"/>
          <w:color w:val="000000" w:themeColor="text1"/>
          <w14:textFill>
            <w14:solidFill>
              <w14:schemeClr w14:val="tx1"/>
            </w14:solidFill>
          </w14:textFill>
        </w:rPr>
        <w:t>在投标阶段</w:t>
      </w:r>
      <w:r>
        <w:rPr>
          <w:rFonts w:ascii="黑体" w:hAnsi="黑体" w:eastAsia="黑体"/>
          <w:color w:val="000000" w:themeColor="text1"/>
          <w14:textFill>
            <w14:solidFill>
              <w14:schemeClr w14:val="tx1"/>
            </w14:solidFill>
          </w14:textFill>
        </w:rPr>
        <w:t>应提交</w:t>
      </w:r>
      <w:r>
        <w:rPr>
          <w:rFonts w:hint="eastAsia" w:ascii="黑体" w:hAnsi="黑体" w:eastAsia="黑体"/>
          <w:color w:val="000000" w:themeColor="text1"/>
          <w14:textFill>
            <w14:solidFill>
              <w14:schemeClr w14:val="tx1"/>
            </w14:solidFill>
          </w14:textFill>
        </w:rPr>
        <w:t>的</w:t>
      </w:r>
      <w:r>
        <w:rPr>
          <w:rFonts w:ascii="黑体" w:hAnsi="黑体" w:eastAsia="黑体"/>
          <w:color w:val="000000" w:themeColor="text1"/>
          <w14:textFill>
            <w14:solidFill>
              <w14:schemeClr w14:val="tx1"/>
            </w14:solidFill>
          </w14:textFill>
        </w:rPr>
        <w:t>资料</w:t>
      </w:r>
      <w:r>
        <w:rPr>
          <w:rFonts w:hint="eastAsia" w:ascii="黑体" w:hAnsi="黑体" w:eastAsia="黑体"/>
          <w:color w:val="000000" w:themeColor="text1"/>
          <w14:textFill>
            <w14:solidFill>
              <w14:schemeClr w14:val="tx1"/>
            </w14:solidFill>
          </w14:textFill>
        </w:rPr>
        <w:t>及说明</w:t>
      </w:r>
      <w:bookmarkEnd w:id="163"/>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电容式电压互感器的</w:t>
      </w:r>
      <w:r>
        <w:rPr>
          <w:color w:val="000000" w:themeColor="text1"/>
          <w14:textFill>
            <w14:solidFill>
              <w14:schemeClr w14:val="tx1"/>
            </w14:solidFill>
          </w14:textFill>
        </w:rPr>
        <w:t>一般说明, 包括初步的</w:t>
      </w:r>
      <w:r>
        <w:rPr>
          <w:rFonts w:hint="eastAsia"/>
          <w:color w:val="000000" w:themeColor="text1"/>
          <w14:textFill>
            <w14:solidFill>
              <w14:schemeClr w14:val="tx1"/>
            </w14:solidFill>
          </w14:textFill>
        </w:rPr>
        <w:t>外形图、基础图、布置图等。</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电容式电压互感器的</w:t>
      </w:r>
      <w:r>
        <w:rPr>
          <w:color w:val="000000" w:themeColor="text1"/>
          <w14:textFill>
            <w14:solidFill>
              <w14:schemeClr w14:val="tx1"/>
            </w14:solidFill>
          </w14:textFill>
        </w:rPr>
        <w:t>详细说明</w:t>
      </w:r>
      <w:r>
        <w:rPr>
          <w:rFonts w:hint="eastAsia"/>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a.电容分压器组成、结构及性能指标</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b.电磁单元组成、</w:t>
      </w:r>
      <w:r>
        <w:rPr>
          <w:color w:val="000000" w:themeColor="text1"/>
          <w14:textFill>
            <w14:solidFill>
              <w14:schemeClr w14:val="tx1"/>
            </w14:solidFill>
          </w14:textFill>
        </w:rPr>
        <w:t>结构</w:t>
      </w:r>
      <w:r>
        <w:rPr>
          <w:rFonts w:hint="eastAsia"/>
          <w:color w:val="000000" w:themeColor="text1"/>
          <w14:textFill>
            <w14:solidFill>
              <w14:schemeClr w14:val="tx1"/>
            </w14:solidFill>
          </w14:textFill>
        </w:rPr>
        <w:t>及性能指标</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c.所</w:t>
      </w:r>
      <w:r>
        <w:rPr>
          <w:color w:val="000000" w:themeColor="text1"/>
          <w14:textFill>
            <w14:solidFill>
              <w14:schemeClr w14:val="tx1"/>
            </w14:solidFill>
          </w14:textFill>
        </w:rPr>
        <w:t>使用的</w:t>
      </w:r>
      <w:r>
        <w:rPr>
          <w:rFonts w:hint="eastAsia"/>
          <w:color w:val="000000" w:themeColor="text1"/>
          <w14:textFill>
            <w14:solidFill>
              <w14:schemeClr w14:val="tx1"/>
            </w14:solidFill>
          </w14:textFill>
        </w:rPr>
        <w:t>关键原</w:t>
      </w:r>
      <w:r>
        <w:rPr>
          <w:color w:val="000000" w:themeColor="text1"/>
          <w14:textFill>
            <w14:solidFill>
              <w14:schemeClr w14:val="tx1"/>
            </w14:solidFill>
          </w14:textFill>
        </w:rPr>
        <w:t>材料。</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详细说明电容式电压互感器</w:t>
      </w:r>
      <w:r>
        <w:rPr>
          <w:color w:val="000000" w:themeColor="text1"/>
          <w14:textFill>
            <w14:solidFill>
              <w14:schemeClr w14:val="tx1"/>
            </w14:solidFill>
          </w14:textFill>
        </w:rPr>
        <w:t>是否</w:t>
      </w:r>
      <w:r>
        <w:rPr>
          <w:rFonts w:hint="eastAsia"/>
          <w:color w:val="000000" w:themeColor="text1"/>
          <w14:textFill>
            <w14:solidFill>
              <w14:schemeClr w14:val="tx1"/>
            </w14:solidFill>
          </w14:textFill>
        </w:rPr>
        <w:t>满足IEC</w:t>
      </w:r>
      <w:r>
        <w:rPr>
          <w:color w:val="000000" w:themeColor="text1"/>
          <w14:textFill>
            <w14:solidFill>
              <w14:schemeClr w14:val="tx1"/>
            </w14:solidFill>
          </w14:textFill>
        </w:rPr>
        <w:t>的推荐允许短时间过负荷</w:t>
      </w:r>
      <w:r>
        <w:rPr>
          <w:rFonts w:hint="eastAsia"/>
          <w:color w:val="000000" w:themeColor="text1"/>
          <w14:textFill>
            <w14:solidFill>
              <w14:schemeClr w14:val="tx1"/>
            </w14:solidFill>
          </w14:textFill>
        </w:rPr>
        <w:t>、铁磁谐振性能、暂态响应性能</w:t>
      </w:r>
      <w:r>
        <w:rPr>
          <w:color w:val="000000" w:themeColor="text1"/>
          <w14:textFill>
            <w14:solidFill>
              <w14:schemeClr w14:val="tx1"/>
            </w14:solidFill>
          </w14:textFill>
        </w:rPr>
        <w:t>的</w:t>
      </w:r>
      <w:r>
        <w:rPr>
          <w:rFonts w:hint="eastAsia"/>
          <w:color w:val="000000" w:themeColor="text1"/>
          <w14:textFill>
            <w14:solidFill>
              <w14:schemeClr w14:val="tx1"/>
            </w14:solidFill>
          </w14:textFill>
        </w:rPr>
        <w:t>要求</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若不能满足IEC要求，</w:t>
      </w:r>
      <w:r>
        <w:rPr>
          <w:color w:val="000000" w:themeColor="text1"/>
          <w14:textFill>
            <w14:solidFill>
              <w14:schemeClr w14:val="tx1"/>
            </w14:solidFill>
          </w14:textFill>
        </w:rPr>
        <w:t>供应商应</w:t>
      </w:r>
      <w:r>
        <w:rPr>
          <w:rFonts w:hint="eastAsia"/>
          <w:color w:val="000000" w:themeColor="text1"/>
          <w14:textFill>
            <w14:solidFill>
              <w14:schemeClr w14:val="tx1"/>
            </w14:solidFill>
          </w14:textFill>
        </w:rPr>
        <w:t>说明所提供具体性能指标</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提供电容式电压互感器短路耐受能力试验报告、抗震试验报告、准确度试验、铁磁谐振特性试验、瞬态响应特性、温升试验等型式试验报告</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关键技术、</w:t>
      </w:r>
      <w:r>
        <w:rPr>
          <w:color w:val="000000" w:themeColor="text1"/>
          <w14:textFill>
            <w14:solidFill>
              <w14:schemeClr w14:val="tx1"/>
            </w14:solidFill>
          </w14:textFill>
        </w:rPr>
        <w:t>制造工艺和生产控制。</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说明</w:t>
      </w:r>
      <w:r>
        <w:rPr>
          <w:color w:val="000000" w:themeColor="text1"/>
          <w14:textFill>
            <w14:solidFill>
              <w14:schemeClr w14:val="tx1"/>
            </w14:solidFill>
          </w14:textFill>
        </w:rPr>
        <w:t>供应商生产的任一台</w:t>
      </w:r>
      <w:r>
        <w:rPr>
          <w:rFonts w:hint="eastAsia"/>
          <w:color w:val="000000" w:themeColor="text1"/>
          <w14:textFill>
            <w14:solidFill>
              <w14:schemeClr w14:val="tx1"/>
            </w14:solidFill>
          </w14:textFill>
        </w:rPr>
        <w:t>电容式电压互感器</w:t>
      </w:r>
      <w:r>
        <w:rPr>
          <w:color w:val="000000" w:themeColor="text1"/>
          <w14:textFill>
            <w14:solidFill>
              <w14:schemeClr w14:val="tx1"/>
            </w14:solidFill>
          </w14:textFill>
        </w:rPr>
        <w:t>是否</w:t>
      </w:r>
      <w:r>
        <w:rPr>
          <w:rFonts w:hint="eastAsia"/>
          <w:color w:val="000000" w:themeColor="text1"/>
          <w14:textFill>
            <w14:solidFill>
              <w14:schemeClr w14:val="tx1"/>
            </w14:solidFill>
          </w14:textFill>
        </w:rPr>
        <w:t>曾发生铁磁谐振</w:t>
      </w:r>
      <w:r>
        <w:rPr>
          <w:color w:val="000000" w:themeColor="text1"/>
          <w14:textFill>
            <w14:solidFill>
              <w14:schemeClr w14:val="tx1"/>
            </w14:solidFill>
          </w14:textFill>
        </w:rPr>
        <w:t>故障, 故障的原因及保证类似故障不发生</w:t>
      </w:r>
      <w:r>
        <w:rPr>
          <w:rFonts w:hint="eastAsia"/>
          <w:color w:val="000000" w:themeColor="text1"/>
          <w14:textFill>
            <w14:solidFill>
              <w14:schemeClr w14:val="tx1"/>
            </w14:solidFill>
          </w14:textFill>
        </w:rPr>
        <w:t>所</w:t>
      </w:r>
      <w:r>
        <w:rPr>
          <w:color w:val="000000" w:themeColor="text1"/>
          <w14:textFill>
            <w14:solidFill>
              <w14:schemeClr w14:val="tx1"/>
            </w14:solidFill>
          </w14:textFill>
        </w:rPr>
        <w:t>采取的</w:t>
      </w:r>
      <w:r>
        <w:rPr>
          <w:rFonts w:hint="eastAsia"/>
          <w:color w:val="000000" w:themeColor="text1"/>
          <w14:textFill>
            <w14:solidFill>
              <w14:schemeClr w14:val="tx1"/>
            </w14:solidFill>
          </w14:textFill>
        </w:rPr>
        <w:t>方法措施</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7</w:t>
      </w:r>
      <w:r>
        <w:rPr>
          <w:color w:val="000000" w:themeColor="text1"/>
          <w14:textFill>
            <w14:solidFill>
              <w14:schemeClr w14:val="tx1"/>
            </w14:solidFill>
          </w14:textFill>
        </w:rPr>
        <w:t>）厂家在投标文件中须阐述其主要技术特点：</w:t>
      </w:r>
    </w:p>
    <w:p>
      <w:pPr>
        <w:adjustRightInd w:val="0"/>
        <w:snapToGrid w:val="0"/>
        <w:spacing w:line="360" w:lineRule="auto"/>
        <w:ind w:firstLine="630" w:firstLineChars="300"/>
        <w:rPr>
          <w:color w:val="000000" w:themeColor="text1"/>
          <w14:textFill>
            <w14:solidFill>
              <w14:schemeClr w14:val="tx1"/>
            </w14:solidFill>
          </w14:textFill>
        </w:rPr>
      </w:pPr>
      <w:r>
        <w:rPr>
          <w:color w:val="000000" w:themeColor="text1"/>
          <w14:textFill>
            <w14:solidFill>
              <w14:schemeClr w14:val="tx1"/>
            </w14:solidFill>
          </w14:textFill>
        </w:rPr>
        <w:t>a</w:t>
      </w:r>
      <w:r>
        <w:rPr>
          <w:rFonts w:hint="eastAsia"/>
          <w:color w:val="000000" w:themeColor="text1"/>
          <w14:textFill>
            <w14:solidFill>
              <w14:schemeClr w14:val="tx1"/>
            </w14:solidFill>
          </w14:textFill>
        </w:rPr>
        <w:t>.确保测量精度</w:t>
      </w:r>
      <w:r>
        <w:rPr>
          <w:color w:val="000000" w:themeColor="text1"/>
          <w14:textFill>
            <w14:solidFill>
              <w14:schemeClr w14:val="tx1"/>
            </w14:solidFill>
          </w14:textFill>
        </w:rPr>
        <w:t>措施</w:t>
      </w:r>
    </w:p>
    <w:p>
      <w:pPr>
        <w:adjustRightInd w:val="0"/>
        <w:snapToGrid w:val="0"/>
        <w:spacing w:line="360" w:lineRule="auto"/>
        <w:ind w:firstLine="630" w:firstLineChars="300"/>
        <w:rPr>
          <w:color w:val="000000" w:themeColor="text1"/>
          <w14:textFill>
            <w14:solidFill>
              <w14:schemeClr w14:val="tx1"/>
            </w14:solidFill>
          </w14:textFill>
        </w:rPr>
      </w:pPr>
      <w:r>
        <w:rPr>
          <w:color w:val="000000" w:themeColor="text1"/>
          <w14:textFill>
            <w14:solidFill>
              <w14:schemeClr w14:val="tx1"/>
            </w14:solidFill>
          </w14:textFill>
        </w:rPr>
        <w:t>b</w:t>
      </w:r>
      <w:r>
        <w:rPr>
          <w:rFonts w:hint="eastAsia"/>
          <w:color w:val="000000" w:themeColor="text1"/>
          <w14:textFill>
            <w14:solidFill>
              <w14:schemeClr w14:val="tx1"/>
            </w14:solidFill>
          </w14:textFill>
        </w:rPr>
        <w:t>.提高电容器单元质量的措施</w:t>
      </w:r>
    </w:p>
    <w:p>
      <w:pPr>
        <w:adjustRightInd w:val="0"/>
        <w:snapToGrid w:val="0"/>
        <w:spacing w:line="360" w:lineRule="auto"/>
        <w:ind w:firstLine="630" w:firstLineChars="300"/>
        <w:rPr>
          <w:color w:val="000000" w:themeColor="text1"/>
          <w14:textFill>
            <w14:solidFill>
              <w14:schemeClr w14:val="tx1"/>
            </w14:solidFill>
          </w14:textFill>
        </w:rPr>
      </w:pPr>
      <w:r>
        <w:rPr>
          <w:color w:val="000000" w:themeColor="text1"/>
          <w14:textFill>
            <w14:solidFill>
              <w14:schemeClr w14:val="tx1"/>
            </w14:solidFill>
          </w14:textFill>
        </w:rPr>
        <w:t>c</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防渗漏措施</w:t>
      </w:r>
    </w:p>
    <w:p>
      <w:pPr>
        <w:adjustRightInd w:val="0"/>
        <w:snapToGrid w:val="0"/>
        <w:spacing w:line="360" w:lineRule="auto"/>
        <w:ind w:firstLine="630" w:firstLineChars="300"/>
        <w:rPr>
          <w:color w:val="000000" w:themeColor="text1"/>
          <w14:textFill>
            <w14:solidFill>
              <w14:schemeClr w14:val="tx1"/>
            </w14:solidFill>
          </w14:textFill>
        </w:rPr>
      </w:pPr>
      <w:r>
        <w:rPr>
          <w:color w:val="000000" w:themeColor="text1"/>
          <w14:textFill>
            <w14:solidFill>
              <w14:schemeClr w14:val="tx1"/>
            </w14:solidFill>
          </w14:textFill>
        </w:rPr>
        <w:t>d</w:t>
      </w:r>
      <w:r>
        <w:rPr>
          <w:rFonts w:hint="eastAsia"/>
          <w:color w:val="000000" w:themeColor="text1"/>
          <w14:textFill>
            <w14:solidFill>
              <w14:schemeClr w14:val="tx1"/>
            </w14:solidFill>
          </w14:textFill>
        </w:rPr>
        <w:t>.避免二次电压不平衡的措施</w:t>
      </w:r>
    </w:p>
    <w:p>
      <w:pPr>
        <w:adjustRightInd w:val="0"/>
        <w:snapToGrid w:val="0"/>
        <w:spacing w:line="360" w:lineRule="auto"/>
        <w:ind w:firstLine="630" w:firstLineChars="300"/>
        <w:rPr>
          <w:color w:val="000000" w:themeColor="text1"/>
          <w14:textFill>
            <w14:solidFill>
              <w14:schemeClr w14:val="tx1"/>
            </w14:solidFill>
          </w14:textFill>
        </w:rPr>
      </w:pPr>
      <w:r>
        <w:rPr>
          <w:color w:val="000000" w:themeColor="text1"/>
          <w14:textFill>
            <w14:solidFill>
              <w14:schemeClr w14:val="tx1"/>
            </w14:solidFill>
          </w14:textFill>
        </w:rPr>
        <w:t>e</w:t>
      </w:r>
      <w:r>
        <w:rPr>
          <w:rFonts w:hint="eastAsia"/>
          <w:color w:val="000000" w:themeColor="text1"/>
          <w14:textFill>
            <w14:solidFill>
              <w14:schemeClr w14:val="tx1"/>
            </w14:solidFill>
          </w14:textFill>
        </w:rPr>
        <w:t>.防止电磁单元匝间短路的措施</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f.提高阻尼器质量的措施</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8）按南网规定模版编制的对应应标电容式电压互感器设备型号的维护检修手册（提供模板）</w:t>
      </w:r>
    </w:p>
    <w:p>
      <w:pPr>
        <w:adjustRightInd w:val="0"/>
        <w:snapToGrid w:val="0"/>
        <w:spacing w:line="360" w:lineRule="auto"/>
        <w:rPr>
          <w:rFonts w:ascii="黑体" w:hAnsi="黑体" w:eastAsia="黑体"/>
          <w:color w:val="000000" w:themeColor="text1"/>
          <w14:textFill>
            <w14:solidFill>
              <w14:schemeClr w14:val="tx1"/>
            </w14:solidFill>
          </w14:textFill>
        </w:rPr>
      </w:pPr>
      <w:bookmarkStart w:id="164" w:name="_Toc384341031"/>
      <w:r>
        <w:rPr>
          <w:rFonts w:hint="eastAsia" w:ascii="黑体" w:hAnsi="黑体" w:eastAsia="黑体"/>
          <w:color w:val="000000" w:themeColor="text1"/>
          <w14:textFill>
            <w14:solidFill>
              <w14:schemeClr w14:val="tx1"/>
            </w14:solidFill>
          </w14:textFill>
        </w:rPr>
        <w:t>8.3 其他文件资料</w:t>
      </w:r>
      <w:bookmarkEnd w:id="164"/>
    </w:p>
    <w:p>
      <w:pPr>
        <w:pStyle w:val="152"/>
        <w:adjustRightInd w:val="0"/>
        <w:snapToGrid w:val="0"/>
        <w:spacing w:line="360" w:lineRule="auto"/>
        <w:ind w:firstLine="420"/>
        <w:rPr>
          <w:color w:val="000000" w:themeColor="text1"/>
          <w14:textFill>
            <w14:solidFill>
              <w14:schemeClr w14:val="tx1"/>
            </w14:solidFill>
          </w14:textFill>
        </w:rPr>
      </w:pPr>
      <w:r>
        <w:rPr>
          <w:rFonts w:hint="eastAsia"/>
          <w:color w:val="000000" w:themeColor="text1"/>
          <w14:textFill>
            <w14:solidFill>
              <w14:schemeClr w14:val="tx1"/>
            </w14:solidFill>
          </w14:textFill>
        </w:rPr>
        <w:t>供应商应按照专用条款要求提供相关资料。包括：</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8.3.1技术数据表及相关技术资料。</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8.3.2 同型产品通过型式试验的最新说明文件，包括生产过的最高电压等级电容式电压互感器的抗短路能力的计算和试验报告、测量精度试验报告</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8.3.3 具有类似设备安装地点名称、投运时间、运行情况的记录。</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8.3.4 设备适用的标准说明。</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8.3.5 提供图纸计划及生产制造、交货进度计划。</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 图纸和技术文件。</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8.3.6.1 认可图</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8.3.6.2 最终图。</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8.3.6.3 安装、运行、维护说明书及试验报告。</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8.3.6.4 需要提供的图纸</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1）总装图。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2）基础安装尺寸图。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3）电气原理图。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4）吊装图。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5）铭牌图。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6）运输运装示意图，包括运输尺寸等。</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7）一次绕组和主绝缘的绝缘构造图。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8）二次绕组接线和布置图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9）二次端子箱端子接线图。</w:t>
      </w:r>
    </w:p>
    <w:p>
      <w:pPr>
        <w:pStyle w:val="312"/>
        <w:spacing w:line="360" w:lineRule="auto"/>
        <w:ind w:left="422" w:leftChars="150" w:right="105" w:hanging="107" w:hangingChars="51"/>
        <w:rPr>
          <w:rFonts w:ascii="Times New Roman" w:eastAsia="宋体"/>
          <w:color w:val="000000" w:themeColor="text1"/>
          <w:sz w:val="21"/>
          <w:szCs w:val="21"/>
          <w14:textFill>
            <w14:solidFill>
              <w14:schemeClr w14:val="tx1"/>
            </w14:solidFill>
          </w14:textFill>
        </w:rPr>
      </w:pPr>
      <w:r>
        <w:rPr>
          <w:rFonts w:hint="eastAsia" w:ascii="Times New Roman" w:eastAsia="宋体"/>
          <w:color w:val="000000" w:themeColor="text1"/>
          <w:sz w:val="21"/>
          <w:szCs w:val="21"/>
          <w14:textFill>
            <w14:solidFill>
              <w14:schemeClr w14:val="tx1"/>
            </w14:solidFill>
          </w14:textFill>
        </w:rPr>
        <w:t>10）电容式电压互感器</w:t>
      </w:r>
      <w:r>
        <w:rPr>
          <w:rFonts w:ascii="Times New Roman" w:eastAsia="宋体"/>
          <w:color w:val="000000" w:themeColor="text1"/>
          <w:sz w:val="21"/>
          <w:szCs w:val="21"/>
          <w14:textFill>
            <w14:solidFill>
              <w14:schemeClr w14:val="tx1"/>
            </w14:solidFill>
          </w14:textFill>
        </w:rPr>
        <w:t>主要部件（瓷套、膨胀器、电容器单元接地端、取样阀及工具）</w:t>
      </w:r>
    </w:p>
    <w:p>
      <w:pPr>
        <w:pStyle w:val="312"/>
        <w:spacing w:line="360" w:lineRule="auto"/>
        <w:ind w:right="105"/>
        <w:rPr>
          <w:rFonts w:ascii="Times New Roman" w:eastAsia="宋体"/>
          <w:color w:val="000000" w:themeColor="text1"/>
          <w:sz w:val="21"/>
          <w:szCs w:val="21"/>
          <w14:textFill>
            <w14:solidFill>
              <w14:schemeClr w14:val="tx1"/>
            </w14:solidFill>
          </w14:textFill>
        </w:rPr>
      </w:pPr>
      <w:r>
        <w:rPr>
          <w:rFonts w:ascii="Times New Roman" w:eastAsia="宋体"/>
          <w:color w:val="000000" w:themeColor="text1"/>
          <w:sz w:val="21"/>
          <w:szCs w:val="21"/>
          <w14:textFill>
            <w14:solidFill>
              <w14:schemeClr w14:val="tx1"/>
            </w14:solidFill>
          </w14:textFill>
        </w:rPr>
        <w:t>等结构装配图</w:t>
      </w:r>
      <w:r>
        <w:rPr>
          <w:rFonts w:hint="eastAsia" w:ascii="Times New Roman" w:eastAsia="宋体"/>
          <w:color w:val="000000" w:themeColor="text1"/>
          <w:sz w:val="21"/>
          <w:szCs w:val="21"/>
          <w14:textFill>
            <w14:solidFill>
              <w14:schemeClr w14:val="tx1"/>
            </w14:solidFill>
          </w14:textFill>
        </w:rPr>
        <w:t>、说明书等。</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8.3.6.5 说明书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1）概述。</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2）电磁单元、电容分压器等不同侧面的彩色照片。</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3）运输、储存、安装、运行、检修使用说明。</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4）二次接线盒的详图。</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5）所有组、部件的规格、型号说明。</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6）其他说明资料。</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7）维护检修手册。（供应商应按照南方电网公司提供的维护检修手册模板要求提供手册，应包含维护和检修的周期、项目、方法、检验标准及易损耗品的规格尺寸等。）</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8.3.6.6试验检验报告应包括以下内容</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供应商应提供所选用主要附件及原材料的试验检验报告，并列出应该做的试验所遵从的标准。其中主要附件包括：</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1）电压互感器试验报告，包括型式、例行试验报告。</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2）主要原材料，如电容器纸、电容器油、铝箔、聚丙烯薄膜、电磁单元用绝缘油、硅钢片、密封件、导线等的试验报告或合格证书。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3）主要组件，如避雷器、速饱和电抗器、阻尼电阻等的试验报告或合格证书。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3）计算报告（包括短时电流耐受能力计算报告、500kV设备抗风能力的计算报告和抗震能力计算报告）。</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szCs w:val="18"/>
          <w14:textFill>
            <w14:solidFill>
              <w14:schemeClr w14:val="tx1"/>
            </w14:solidFill>
          </w14:textFill>
        </w:rPr>
        <w:t>8.3.7 电容式电压互感器制造企业有义务对附件及原材料供应商进行质量管控及考核，并按照用户的要求对附件和原材料进行抽检，提交抽检报告。</w:t>
      </w:r>
    </w:p>
    <w:p>
      <w:pPr>
        <w:adjustRightInd w:val="0"/>
        <w:snapToGrid w:val="0"/>
        <w:spacing w:line="360" w:lineRule="auto"/>
        <w:rPr>
          <w:rFonts w:ascii="黑体" w:hAnsi="黑体" w:eastAsia="黑体"/>
          <w:color w:val="000000" w:themeColor="text1"/>
          <w14:textFill>
            <w14:solidFill>
              <w14:schemeClr w14:val="tx1"/>
            </w14:solidFill>
          </w14:textFill>
        </w:rPr>
      </w:pPr>
      <w:bookmarkStart w:id="165" w:name="_Toc282433723"/>
      <w:bookmarkStart w:id="166" w:name="_Toc282428315"/>
      <w:bookmarkStart w:id="167" w:name="_Toc283011675"/>
      <w:bookmarkStart w:id="168" w:name="_Toc283142581"/>
      <w:bookmarkStart w:id="169" w:name="_Toc384341032"/>
      <w:r>
        <w:rPr>
          <w:rFonts w:hint="eastAsia" w:ascii="黑体" w:hAnsi="黑体" w:eastAsia="黑体"/>
          <w:color w:val="000000" w:themeColor="text1"/>
          <w14:textFill>
            <w14:solidFill>
              <w14:schemeClr w14:val="tx1"/>
            </w14:solidFill>
          </w14:textFill>
        </w:rPr>
        <w:t>8.4</w:t>
      </w:r>
      <w:bookmarkEnd w:id="165"/>
      <w:bookmarkEnd w:id="166"/>
      <w:bookmarkEnd w:id="167"/>
      <w:bookmarkEnd w:id="168"/>
      <w:bookmarkStart w:id="170" w:name="_Toc277686885"/>
      <w:bookmarkStart w:id="171" w:name="_Toc282428316"/>
      <w:bookmarkStart w:id="172" w:name="_Toc282433724"/>
      <w:bookmarkStart w:id="173" w:name="_Toc283142582"/>
      <w:bookmarkStart w:id="174" w:name="_Toc283011676"/>
      <w:r>
        <w:rPr>
          <w:rFonts w:hint="eastAsia" w:ascii="黑体" w:hAnsi="黑体" w:eastAsia="黑体"/>
          <w:color w:val="000000" w:themeColor="text1"/>
          <w14:textFill>
            <w14:solidFill>
              <w14:schemeClr w14:val="tx1"/>
            </w14:solidFill>
          </w14:textFill>
        </w:rPr>
        <w:t>设计联络</w:t>
      </w:r>
      <w:bookmarkEnd w:id="169"/>
      <w:bookmarkEnd w:id="170"/>
      <w:bookmarkEnd w:id="171"/>
      <w:bookmarkEnd w:id="172"/>
      <w:bookmarkEnd w:id="173"/>
      <w:bookmarkEnd w:id="174"/>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1）供方应按设计需要随时开展设计联络工作，提供设计所需的相关资料，以保证需方工期要求。</w:t>
      </w:r>
    </w:p>
    <w:p>
      <w:pPr>
        <w:adjustRightInd w:val="0"/>
        <w:snapToGrid w:val="0"/>
        <w:spacing w:line="360" w:lineRule="auto"/>
        <w:ind w:firstLine="420" w:firstLineChars="200"/>
        <w:rPr>
          <w:color w:val="auto"/>
        </w:rPr>
      </w:pPr>
      <w:r>
        <w:rPr>
          <w:rFonts w:hint="eastAsia"/>
          <w:color w:val="000000" w:themeColor="text1"/>
          <w14:textFill>
            <w14:solidFill>
              <w14:schemeClr w14:val="tx1"/>
            </w14:solidFill>
          </w14:textFill>
        </w:rPr>
        <w:t>2）供方提</w:t>
      </w:r>
      <w:r>
        <w:rPr>
          <w:rFonts w:hint="eastAsia"/>
          <w:color w:val="auto"/>
        </w:rPr>
        <w:t>供的图纸必须经需方代表确认。</w:t>
      </w:r>
    </w:p>
    <w:p>
      <w:pPr>
        <w:pStyle w:val="4"/>
        <w:numPr>
          <w:ilvl w:val="0"/>
          <w:numId w:val="0"/>
        </w:numPr>
        <w:rPr>
          <w:rFonts w:ascii="黑体" w:hAnsi="黑体" w:eastAsia="黑体"/>
          <w:b/>
          <w:color w:val="auto"/>
          <w:sz w:val="21"/>
          <w:szCs w:val="21"/>
        </w:rPr>
      </w:pPr>
      <w:bookmarkStart w:id="175" w:name="_Toc279695207"/>
      <w:bookmarkStart w:id="176" w:name="_Toc276492435"/>
      <w:bookmarkStart w:id="177" w:name="_Toc276490917"/>
      <w:bookmarkStart w:id="178" w:name="_Toc282993359"/>
      <w:bookmarkStart w:id="179" w:name="_Toc22390016"/>
      <w:bookmarkStart w:id="180" w:name="_Toc384341033"/>
      <w:bookmarkStart w:id="181" w:name="_Toc282433758"/>
      <w:r>
        <w:rPr>
          <w:rFonts w:hint="eastAsia" w:ascii="黑体" w:hAnsi="黑体" w:eastAsia="黑体"/>
          <w:b/>
          <w:color w:val="auto"/>
          <w:sz w:val="21"/>
          <w:szCs w:val="21"/>
        </w:rPr>
        <w:t>9 监造、包装、储存、运输、安装</w:t>
      </w:r>
      <w:bookmarkEnd w:id="175"/>
      <w:bookmarkEnd w:id="176"/>
      <w:bookmarkEnd w:id="177"/>
      <w:r>
        <w:rPr>
          <w:rFonts w:hint="eastAsia" w:ascii="黑体" w:hAnsi="黑体" w:eastAsia="黑体"/>
          <w:b/>
          <w:color w:val="auto"/>
          <w:sz w:val="21"/>
          <w:szCs w:val="21"/>
        </w:rPr>
        <w:t>及质量保证</w:t>
      </w:r>
      <w:bookmarkEnd w:id="178"/>
      <w:bookmarkEnd w:id="179"/>
      <w:bookmarkEnd w:id="180"/>
      <w:bookmarkEnd w:id="181"/>
    </w:p>
    <w:p>
      <w:pPr>
        <w:pStyle w:val="5"/>
        <w:numPr>
          <w:ilvl w:val="0"/>
          <w:numId w:val="0"/>
        </w:numPr>
        <w:adjustRightInd w:val="0"/>
        <w:snapToGrid w:val="0"/>
        <w:spacing w:line="360" w:lineRule="auto"/>
        <w:rPr>
          <w:rFonts w:ascii="黑体" w:hAnsi="黑体"/>
          <w:color w:val="auto"/>
        </w:rPr>
      </w:pPr>
      <w:bookmarkStart w:id="182" w:name="_Toc22390017"/>
      <w:bookmarkStart w:id="183" w:name="_Toc276490898"/>
      <w:bookmarkStart w:id="184" w:name="_Toc282993360"/>
      <w:bookmarkStart w:id="185" w:name="_Toc276492370"/>
      <w:bookmarkStart w:id="186" w:name="_Toc279695208"/>
      <w:bookmarkStart w:id="187" w:name="_Toc282433759"/>
      <w:bookmarkStart w:id="188" w:name="_Toc384341034"/>
      <w:bookmarkStart w:id="189" w:name="_Toc471528253"/>
      <w:bookmarkStart w:id="190" w:name="_Toc200531202"/>
      <w:bookmarkStart w:id="191" w:name="_Toc472997247"/>
      <w:bookmarkStart w:id="192" w:name="_Toc53672785"/>
      <w:r>
        <w:rPr>
          <w:rFonts w:hint="eastAsia" w:ascii="黑体" w:hAnsi="黑体"/>
          <w:color w:val="auto"/>
        </w:rPr>
        <w:t>9.1监造</w:t>
      </w:r>
      <w:bookmarkEnd w:id="182"/>
      <w:bookmarkEnd w:id="183"/>
      <w:bookmarkEnd w:id="184"/>
      <w:bookmarkEnd w:id="185"/>
      <w:bookmarkEnd w:id="186"/>
      <w:bookmarkEnd w:id="187"/>
      <w:bookmarkEnd w:id="188"/>
    </w:p>
    <w:p>
      <w:pPr>
        <w:adjustRightInd w:val="0"/>
        <w:snapToGrid w:val="0"/>
        <w:spacing w:line="360" w:lineRule="auto"/>
        <w:ind w:firstLine="420" w:firstLineChars="200"/>
        <w:rPr>
          <w:color w:val="auto"/>
        </w:rPr>
      </w:pPr>
      <w:bookmarkStart w:id="193" w:name="_Toc282993364"/>
      <w:bookmarkStart w:id="194" w:name="_Toc279695209"/>
      <w:bookmarkStart w:id="195" w:name="_Toc276301528"/>
      <w:bookmarkStart w:id="196" w:name="_Toc276492436"/>
      <w:bookmarkStart w:id="197" w:name="_Toc276490918"/>
      <w:bookmarkStart w:id="198" w:name="_Toc282433760"/>
      <w:r>
        <w:rPr>
          <w:color w:val="auto"/>
        </w:rPr>
        <w:t>应根据DL/T586《电力设备监造技术导则》编制监造大纲，进行工厂监造和检查。</w:t>
      </w:r>
      <w:r>
        <w:rPr>
          <w:rFonts w:hint="eastAsia"/>
          <w:color w:val="auto"/>
        </w:rPr>
        <w:t>监造和检查人员有权了解生产过程、查询质量记录和参加各种试验。</w:t>
      </w:r>
    </w:p>
    <w:p>
      <w:pPr>
        <w:adjustRightInd w:val="0"/>
        <w:snapToGrid w:val="0"/>
        <w:spacing w:line="360" w:lineRule="auto"/>
        <w:ind w:firstLine="420" w:firstLineChars="200"/>
        <w:rPr>
          <w:color w:val="auto"/>
        </w:rPr>
      </w:pPr>
      <w:r>
        <w:rPr>
          <w:color w:val="auto"/>
        </w:rPr>
        <w:t>监造范围包括设备的设计、加工、制造、储运、材料采购、组装和试验等重要过程，关键部件的质量控制，进行见证、检验和审核，并形成完整质量记录和资料，提交监造工作总结。</w:t>
      </w:r>
    </w:p>
    <w:p>
      <w:pPr>
        <w:adjustRightInd w:val="0"/>
        <w:snapToGrid w:val="0"/>
        <w:spacing w:line="360" w:lineRule="auto"/>
        <w:ind w:firstLine="420" w:firstLineChars="200"/>
        <w:rPr>
          <w:color w:val="auto"/>
        </w:rPr>
      </w:pPr>
      <w:r>
        <w:rPr>
          <w:rFonts w:hint="eastAsia"/>
          <w:color w:val="auto"/>
        </w:rPr>
        <w:t>110kV~500kV电容式电压互感器应根据需要进行关键点监造或到货抽检工作。监造验收工作结束后，监造人员应提交监造报告，并作为设备原始资料存档。</w:t>
      </w:r>
    </w:p>
    <w:p>
      <w:pPr>
        <w:adjustRightInd w:val="0"/>
        <w:snapToGrid w:val="0"/>
        <w:spacing w:line="360" w:lineRule="auto"/>
        <w:ind w:firstLine="420" w:firstLineChars="200"/>
        <w:rPr>
          <w:color w:val="auto"/>
        </w:rPr>
      </w:pPr>
      <w:r>
        <w:rPr>
          <w:color w:val="auto"/>
        </w:rPr>
        <w:t>运行单位的工厂监造和检验工作，不减少制造厂对产品的质量责任，监造和检验人员不签署任何质量证明。</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199" w:name="_Toc22390018"/>
      <w:bookmarkStart w:id="200" w:name="_Toc384341035"/>
      <w:r>
        <w:rPr>
          <w:rFonts w:hint="eastAsia" w:ascii="黑体" w:hAnsi="黑体"/>
          <w:color w:val="000000" w:themeColor="text1"/>
          <w14:textFill>
            <w14:solidFill>
              <w14:schemeClr w14:val="tx1"/>
            </w14:solidFill>
          </w14:textFill>
        </w:rPr>
        <w:t>9.2包装</w:t>
      </w:r>
      <w:bookmarkEnd w:id="189"/>
      <w:bookmarkEnd w:id="190"/>
      <w:bookmarkEnd w:id="191"/>
      <w:bookmarkEnd w:id="192"/>
      <w:bookmarkEnd w:id="193"/>
      <w:bookmarkEnd w:id="194"/>
      <w:bookmarkEnd w:id="195"/>
      <w:bookmarkEnd w:id="196"/>
      <w:bookmarkEnd w:id="197"/>
      <w:bookmarkEnd w:id="198"/>
      <w:bookmarkEnd w:id="199"/>
      <w:bookmarkEnd w:id="200"/>
    </w:p>
    <w:p>
      <w:pPr>
        <w:adjustRightInd w:val="0"/>
        <w:snapToGrid w:val="0"/>
        <w:spacing w:line="360" w:lineRule="auto"/>
        <w:ind w:firstLine="420" w:firstLineChars="200"/>
        <w:rPr>
          <w:color w:val="000000" w:themeColor="text1"/>
          <w14:textFill>
            <w14:solidFill>
              <w14:schemeClr w14:val="tx1"/>
            </w14:solidFill>
          </w14:textFill>
        </w:rPr>
      </w:pPr>
      <w:bookmarkStart w:id="201" w:name="_Toc276301529"/>
      <w:bookmarkStart w:id="202" w:name="_Toc276492437"/>
      <w:bookmarkStart w:id="203" w:name="_Toc276490919"/>
      <w:r>
        <w:rPr>
          <w:rFonts w:hint="eastAsia"/>
          <w:color w:val="000000" w:themeColor="text1"/>
          <w14:textFill>
            <w14:solidFill>
              <w14:schemeClr w14:val="tx1"/>
            </w14:solidFill>
          </w14:textFill>
        </w:rPr>
        <w:t>1）供货方应根据双方商定好的标准和招标方的实际运输条件</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将电容式电压互感器本体和所有组、部件包装好</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并将全套安装使用说明书</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产品合格证明书、出厂试验记录、产品外形尺寸图、运输尺寸图、产品拆卸件一览表、装箱单、铭牌图或铭牌标志图及备件一览表等包装好</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防止受潮。从供货方发货至招标方收到期间</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设备和资料应完好无损。</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包装箱应连续编号</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不能有重号。</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2）设备、零部件、材料启运前供货方应按下述内容在箱面上写不褪色的醒目标志</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a.合同号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b.装船</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海运</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标志</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c.目的港</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海运</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或站名称</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d.收货人及代码</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e.设备名称和项目号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f.箱号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g.毛重与净重</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h.外形尺寸</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i.在设备的包装箱外面应标上“重心”、“起吊点”、“小心搬运”、“正面向上”、“防止受潮”、“勿倒”、“勿倾斜”、“防火”等字样。</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3）供货方提供的技术文件的包装内外表面上应有如下中文标志</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a.合同号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b.收货人</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c.目的地</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d.毛重</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e.箱号。</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4）买卖双方应在合同中明确规定电容式电压互感器在运输时是充油、充气</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以及对检测仪表和检测数据变化范围的要求。电容式电压互感器及其部件的保管期应在合同中明确规定。</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5）在设备启运后一周内</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供货方应以最快捷的方式通知招标方以下内容</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a.设备名称</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b.件数、件号、重量</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c.合同号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d.货运单号</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e.达到港</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站</w:t>
      </w:r>
      <w:r>
        <w:rPr>
          <w:color w:val="000000" w:themeColor="text1"/>
          <w14:textFill>
            <w14:solidFill>
              <w14:schemeClr w14:val="tx1"/>
            </w14:solidFill>
          </w14:textFill>
        </w:rPr>
        <w:t>）；</w:t>
      </w:r>
    </w:p>
    <w:p>
      <w:pPr>
        <w:adjustRightInd w:val="0"/>
        <w:snapToGrid w:val="0"/>
        <w:spacing w:line="360" w:lineRule="auto"/>
        <w:ind w:firstLine="630" w:firstLineChars="300"/>
        <w:rPr>
          <w:color w:val="000000" w:themeColor="text1"/>
          <w14:textFill>
            <w14:solidFill>
              <w14:schemeClr w14:val="tx1"/>
            </w14:solidFill>
          </w14:textFill>
        </w:rPr>
      </w:pPr>
      <w:r>
        <w:rPr>
          <w:rFonts w:hint="eastAsia"/>
          <w:color w:val="000000" w:themeColor="text1"/>
          <w14:textFill>
            <w14:solidFill>
              <w14:schemeClr w14:val="tx1"/>
            </w14:solidFill>
          </w14:textFill>
        </w:rPr>
        <w:t>f.设备发出日期。</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6）所有部件的装运方式均应便于卸货、操作和现场就位</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产品起吊图和安装图</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应与装运文件一起提供。</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7）任何在装运中可能丢失的成品应用箱式包装或捆成一束</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并标志以清晰的记号以便识别。</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8）运输、贮存直到安装时应保护产品所有组、部件不得损坏、不得进水和受潮。</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04" w:name="_Toc282433761"/>
      <w:bookmarkStart w:id="205" w:name="_Toc282993365"/>
      <w:bookmarkStart w:id="206" w:name="_Toc279695210"/>
      <w:bookmarkStart w:id="207" w:name="_Toc384341036"/>
      <w:bookmarkStart w:id="208" w:name="_Toc22390019"/>
      <w:r>
        <w:rPr>
          <w:rFonts w:hint="eastAsia" w:ascii="黑体" w:hAnsi="黑体"/>
          <w:color w:val="000000" w:themeColor="text1"/>
          <w14:textFill>
            <w14:solidFill>
              <w14:schemeClr w14:val="tx1"/>
            </w14:solidFill>
          </w14:textFill>
        </w:rPr>
        <w:t>9.3储存与运输</w:t>
      </w:r>
      <w:bookmarkEnd w:id="201"/>
      <w:bookmarkEnd w:id="202"/>
      <w:bookmarkEnd w:id="203"/>
      <w:bookmarkEnd w:id="204"/>
      <w:bookmarkEnd w:id="205"/>
      <w:bookmarkEnd w:id="206"/>
      <w:bookmarkEnd w:id="207"/>
      <w:bookmarkEnd w:id="208"/>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1）运输和存储期间，包装应保证产品及组件零部件不得损坏和松动，并应有防振、防潮措施。</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2）运输和存储期间，应保证包装完好，各电气连接的接触面均有防锈蚀措施。</w:t>
      </w:r>
    </w:p>
    <w:p>
      <w:pPr>
        <w:spacing w:line="36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3）存储期间，为避免受潮，底座应高于地面50mm以上，长期存储应进行包装。储存处的环境温度应在-30℃~+40℃范围内，存储期间，应经常检查油面及密封情况。</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szCs w:val="21"/>
          <w14:textFill>
            <w14:solidFill>
              <w14:schemeClr w14:val="tx1"/>
            </w14:solidFill>
          </w14:textFill>
        </w:rPr>
        <w:t>4）</w:t>
      </w:r>
      <w:r>
        <w:rPr>
          <w:rFonts w:hint="eastAsia"/>
          <w:color w:val="000000" w:themeColor="text1"/>
          <w14:textFill>
            <w14:solidFill>
              <w14:schemeClr w14:val="tx1"/>
            </w14:solidFill>
          </w14:textFill>
        </w:rPr>
        <w:t>制造厂应充分考虑运输条件及路、桥运输重量，并应编制运输方案、确定最大单件的尺寸及运输单重，并</w:t>
      </w:r>
      <w:r>
        <w:rPr>
          <w:rFonts w:hint="eastAsia" w:ascii="宋体" w:hAnsi="宋体"/>
          <w:color w:val="000000" w:themeColor="text1"/>
          <w14:textFill>
            <w14:solidFill>
              <w14:schemeClr w14:val="tx1"/>
            </w14:solidFill>
          </w14:textFill>
        </w:rPr>
        <w:t>保证互感器不超过运输尺寸和运输重量的限制，</w:t>
      </w:r>
      <w:r>
        <w:rPr>
          <w:rFonts w:hint="eastAsia" w:ascii="宋体" w:hAnsi="宋体"/>
          <w:color w:val="000000" w:themeColor="text1"/>
          <w:spacing w:val="-2"/>
          <w14:textFill>
            <w14:solidFill>
              <w14:schemeClr w14:val="tx1"/>
            </w14:solidFill>
          </w14:textFill>
        </w:rPr>
        <w:t>装运件的尺寸、重量限制由设计单位提出。</w:t>
      </w:r>
    </w:p>
    <w:p>
      <w:pPr>
        <w:adjustRightInd w:val="0"/>
        <w:snapToGrid w:val="0"/>
        <w:spacing w:line="360" w:lineRule="auto"/>
        <w:ind w:firstLine="412" w:firstLineChars="200"/>
        <w:rPr>
          <w:rFonts w:ascii="宋体" w:hAnsi="宋体"/>
          <w:color w:val="000000" w:themeColor="text1"/>
          <w:spacing w:val="-2"/>
          <w14:textFill>
            <w14:solidFill>
              <w14:schemeClr w14:val="tx1"/>
            </w14:solidFill>
          </w14:textFill>
        </w:rPr>
      </w:pPr>
      <w:r>
        <w:rPr>
          <w:rFonts w:hint="eastAsia" w:ascii="宋体" w:hAnsi="宋体"/>
          <w:color w:val="000000" w:themeColor="text1"/>
          <w:spacing w:val="-2"/>
          <w14:textFill>
            <w14:solidFill>
              <w14:schemeClr w14:val="tx1"/>
            </w14:solidFill>
          </w14:textFill>
        </w:rPr>
        <w:t>5）制造厂负责将设备安全地运到运行单位指定地点。制造厂应做到使设备在任何运输过程中不受损坏。制造厂应考虑到设备在船运和陆运运输中，可能受到的最大加速度所产生的冲击力而不松动、不损坏、不变形。</w:t>
      </w:r>
    </w:p>
    <w:p>
      <w:pPr>
        <w:adjustRightInd w:val="0"/>
        <w:snapToGrid w:val="0"/>
        <w:spacing w:line="360" w:lineRule="auto"/>
        <w:ind w:firstLine="412" w:firstLineChars="200"/>
        <w:rPr>
          <w:rFonts w:ascii="宋体" w:hAnsi="宋体"/>
          <w:color w:val="000000" w:themeColor="text1"/>
          <w:spacing w:val="-2"/>
          <w14:textFill>
            <w14:solidFill>
              <w14:schemeClr w14:val="tx1"/>
            </w14:solidFill>
          </w14:textFill>
        </w:rPr>
      </w:pPr>
      <w:r>
        <w:rPr>
          <w:rFonts w:hint="eastAsia" w:ascii="宋体" w:hAnsi="宋体"/>
          <w:color w:val="000000" w:themeColor="text1"/>
          <w:spacing w:val="-2"/>
          <w14:textFill>
            <w14:solidFill>
              <w14:schemeClr w14:val="tx1"/>
            </w14:solidFill>
          </w14:textFill>
        </w:rPr>
        <w:t>6）所有组、部件在装运时必须做到便于卸货、搬运和现场安装。为了能正确搬运和安装，在必要处应提供吊钩或起吊设施，并提供吊索布置图。</w:t>
      </w:r>
    </w:p>
    <w:p>
      <w:pPr>
        <w:adjustRightInd w:val="0"/>
        <w:snapToGrid w:val="0"/>
        <w:spacing w:line="360" w:lineRule="auto"/>
        <w:ind w:firstLine="412" w:firstLineChars="200"/>
        <w:rPr>
          <w:rFonts w:ascii="宋体" w:hAnsi="宋体"/>
          <w:color w:val="000000" w:themeColor="text1"/>
          <w:spacing w:val="-2"/>
          <w14:textFill>
            <w14:solidFill>
              <w14:schemeClr w14:val="tx1"/>
            </w14:solidFill>
          </w14:textFill>
        </w:rPr>
      </w:pPr>
      <w:r>
        <w:rPr>
          <w:rFonts w:hint="eastAsia" w:ascii="宋体" w:hAnsi="宋体"/>
          <w:color w:val="000000" w:themeColor="text1"/>
          <w:spacing w:val="-2"/>
          <w14:textFill>
            <w14:solidFill>
              <w14:schemeClr w14:val="tx1"/>
            </w14:solidFill>
          </w14:textFill>
        </w:rPr>
        <w:t>7）笨重件应装在滑板上或板条箱内，在运输中容易松散丢失的物件都应装箱并捆扎牢固，瓷套管应牢固固定在木箱内，以防相对移动。</w:t>
      </w:r>
    </w:p>
    <w:p>
      <w:pPr>
        <w:adjustRightInd w:val="0"/>
        <w:snapToGrid w:val="0"/>
        <w:spacing w:line="360" w:lineRule="auto"/>
        <w:ind w:firstLine="420" w:firstLineChars="200"/>
        <w:rPr>
          <w:color w:val="000000" w:themeColor="text1"/>
          <w14:textFill>
            <w14:solidFill>
              <w14:schemeClr w14:val="tx1"/>
            </w14:solidFill>
          </w14:textFill>
        </w:rPr>
      </w:pPr>
    </w:p>
    <w:p>
      <w:pPr>
        <w:adjustRightInd w:val="0"/>
        <w:snapToGrid w:val="0"/>
        <w:spacing w:line="360" w:lineRule="auto"/>
        <w:ind w:firstLine="412" w:firstLineChars="200"/>
        <w:rPr>
          <w:rFonts w:ascii="宋体" w:hAnsi="宋体"/>
          <w:color w:val="000000" w:themeColor="text1"/>
          <w:spacing w:val="-2"/>
          <w14:textFill>
            <w14:solidFill>
              <w14:schemeClr w14:val="tx1"/>
            </w14:solidFill>
          </w14:textFill>
        </w:rPr>
      </w:pPr>
      <w:r>
        <w:rPr>
          <w:rFonts w:hint="eastAsia" w:ascii="宋体" w:hAnsi="宋体"/>
          <w:color w:val="000000" w:themeColor="text1"/>
          <w:spacing w:val="-2"/>
          <w14:textFill>
            <w14:solidFill>
              <w14:schemeClr w14:val="tx1"/>
            </w14:solidFill>
          </w14:textFill>
        </w:rPr>
        <w:t>9）备品备件、专用工具和仪表应随互感器同时装运，但必须单独包装，并明显标记，以便与提供的其它设备相区别。</w:t>
      </w:r>
    </w:p>
    <w:p>
      <w:pPr>
        <w:adjustRightInd w:val="0"/>
        <w:snapToGrid w:val="0"/>
        <w:spacing w:line="360" w:lineRule="auto"/>
        <w:ind w:firstLine="412" w:firstLineChars="200"/>
        <w:rPr>
          <w:rFonts w:ascii="宋体" w:hAnsi="宋体"/>
          <w:color w:val="000000" w:themeColor="text1"/>
          <w:spacing w:val="-2"/>
          <w14:textFill>
            <w14:solidFill>
              <w14:schemeClr w14:val="tx1"/>
            </w14:solidFill>
          </w14:textFill>
        </w:rPr>
      </w:pPr>
      <w:r>
        <w:rPr>
          <w:rFonts w:hint="eastAsia" w:ascii="宋体" w:hAnsi="宋体"/>
          <w:color w:val="000000" w:themeColor="text1"/>
          <w:spacing w:val="-2"/>
          <w14:textFill>
            <w14:solidFill>
              <w14:schemeClr w14:val="tx1"/>
            </w14:solidFill>
          </w14:textFill>
        </w:rPr>
        <w:t>10）产品的运输和装卸按照DL/T 1071规定执行。</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09" w:name="_Toc22390020"/>
      <w:r>
        <w:rPr>
          <w:rFonts w:hint="eastAsia" w:ascii="黑体" w:hAnsi="黑体"/>
          <w:color w:val="000000" w:themeColor="text1"/>
          <w14:textFill>
            <w14:solidFill>
              <w14:schemeClr w14:val="tx1"/>
            </w14:solidFill>
          </w14:textFill>
        </w:rPr>
        <w:t>9.4</w:t>
      </w:r>
      <w:bookmarkStart w:id="210" w:name="_Toc276490920"/>
      <w:bookmarkStart w:id="211" w:name="_Toc276301530"/>
      <w:bookmarkStart w:id="212" w:name="_Toc276492438"/>
      <w:bookmarkStart w:id="213" w:name="_Toc282433762"/>
      <w:bookmarkStart w:id="214" w:name="_Toc279695211"/>
      <w:bookmarkStart w:id="215" w:name="_Toc282993366"/>
      <w:bookmarkStart w:id="216" w:name="_Toc384341037"/>
      <w:r>
        <w:rPr>
          <w:rFonts w:hint="eastAsia" w:ascii="黑体" w:hAnsi="黑体"/>
          <w:color w:val="000000" w:themeColor="text1"/>
          <w14:textFill>
            <w14:solidFill>
              <w14:schemeClr w14:val="tx1"/>
            </w14:solidFill>
          </w14:textFill>
        </w:rPr>
        <w:t>安装</w:t>
      </w:r>
      <w:bookmarkEnd w:id="210"/>
      <w:bookmarkEnd w:id="211"/>
      <w:bookmarkEnd w:id="212"/>
      <w:r>
        <w:rPr>
          <w:rFonts w:hint="eastAsia" w:ascii="黑体" w:hAnsi="黑体"/>
          <w:color w:val="000000" w:themeColor="text1"/>
          <w14:textFill>
            <w14:solidFill>
              <w14:schemeClr w14:val="tx1"/>
            </w14:solidFill>
          </w14:textFill>
        </w:rPr>
        <w:t>指导</w:t>
      </w:r>
      <w:bookmarkEnd w:id="209"/>
      <w:bookmarkEnd w:id="213"/>
      <w:bookmarkEnd w:id="214"/>
      <w:bookmarkEnd w:id="215"/>
      <w:bookmarkEnd w:id="216"/>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制造厂在安装和启动时应安排技术人员提供现场安装指导服务，提出技术建议，并有对运行人员提供相关培训的义务。</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产品的现场搬运、吊装就位和安装应按照GB</w:t>
      </w:r>
      <w:r>
        <w:rPr>
          <w:color w:val="000000" w:themeColor="text1"/>
          <w14:textFill>
            <w14:solidFill>
              <w14:schemeClr w14:val="tx1"/>
            </w14:solidFill>
          </w14:textFill>
        </w:rPr>
        <w:t>/T</w:t>
      </w:r>
      <w:r>
        <w:rPr>
          <w:rFonts w:hint="eastAsia"/>
          <w:color w:val="000000" w:themeColor="text1"/>
          <w14:textFill>
            <w14:solidFill>
              <w14:schemeClr w14:val="tx1"/>
            </w14:solidFill>
          </w14:textFill>
        </w:rPr>
        <w:t xml:space="preserve"> 26164.1规定执行。</w:t>
      </w: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17" w:name="_Toc282433763"/>
      <w:bookmarkStart w:id="218" w:name="_Toc22390021"/>
      <w:bookmarkStart w:id="219" w:name="_Toc282993367"/>
      <w:bookmarkStart w:id="220" w:name="_Toc384341038"/>
      <w:r>
        <w:rPr>
          <w:rFonts w:hint="eastAsia" w:ascii="黑体" w:hAnsi="黑体"/>
          <w:color w:val="000000" w:themeColor="text1"/>
          <w14:textFill>
            <w14:solidFill>
              <w14:schemeClr w14:val="tx1"/>
            </w14:solidFill>
          </w14:textFill>
        </w:rPr>
        <w:t>9.5质量保证</w:t>
      </w:r>
      <w:bookmarkEnd w:id="217"/>
      <w:bookmarkEnd w:id="218"/>
      <w:bookmarkEnd w:id="219"/>
      <w:bookmarkEnd w:id="220"/>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1）全部设备必须是全新的，持久耐用的，应满足作为一个完整产品所能满足的全部要求。供应商应保证设备在规定的使用条件下运行、并按使用说明书进行安装和维护、预期寿命应不少于40年</w:t>
      </w:r>
      <w:r>
        <w:rPr>
          <w:color w:val="000000" w:themeColor="text1"/>
          <w14:textFill>
            <w14:solidFill>
              <w14:schemeClr w14:val="tx1"/>
            </w14:solidFill>
          </w14:textFill>
        </w:rPr>
        <w:t>。</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2）供应商应对其整组设备在到货后提供不少于六年的“三包”质量保证。质保期之后如发生产品质量原因导致的损坏，投标方应免费更换或检修；如发生非产品质量原因导致的损坏，投标方应及时提供维修部件，并按最近的投标价提供。</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3）订购的新型产品除应满足本技术规范书外，供应商还应提供该产品的鉴定证书。</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4）供应商应保证制造过程中的所有工艺、材料试验等</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包括供应商的外购件在内</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均应符合本规范的规定。若需根据运行经验指定供应商提供某种外购零部件，供应商应积极配合。</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5）附属及配套设备必须满足有关行业标准的要求，并提供试验报告和产品合格证。</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6）供应商应有遵守本标准中各条款和工作项目的</w:t>
      </w:r>
      <w:r>
        <w:rPr>
          <w:color w:val="000000" w:themeColor="text1"/>
          <w14:textFill>
            <w14:solidFill>
              <w14:schemeClr w14:val="tx1"/>
            </w14:solidFill>
          </w14:textFill>
        </w:rPr>
        <w:t>ISO900</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GB/T1900</w:t>
      </w:r>
      <w:r>
        <w:rPr>
          <w:rFonts w:hint="eastAsia"/>
          <w:color w:val="000000" w:themeColor="text1"/>
          <w14:textFill>
            <w14:solidFill>
              <w14:schemeClr w14:val="tx1"/>
            </w14:solidFill>
          </w14:textFill>
        </w:rPr>
        <w:t>0质量保证体系</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该质量保证体系已经通过国家认证并在正常运转。</w:t>
      </w:r>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221" w:name="_Toc22390022"/>
      <w:bookmarkStart w:id="222" w:name="_Toc384341039"/>
      <w:r>
        <w:rPr>
          <w:rFonts w:hint="eastAsia" w:ascii="黑体" w:hAnsi="黑体" w:eastAsia="黑体"/>
          <w:b/>
          <w:color w:val="000000" w:themeColor="text1"/>
          <w:sz w:val="21"/>
          <w:szCs w:val="21"/>
          <w14:textFill>
            <w14:solidFill>
              <w14:schemeClr w14:val="tx1"/>
            </w14:solidFill>
          </w14:textFill>
        </w:rPr>
        <w:t>10 一次、二次及土建接口要求</w:t>
      </w:r>
      <w:bookmarkEnd w:id="221"/>
      <w:bookmarkEnd w:id="222"/>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23" w:name="_Toc22390023"/>
      <w:bookmarkStart w:id="224" w:name="_Toc384341040"/>
      <w:r>
        <w:rPr>
          <w:rFonts w:hint="eastAsia" w:ascii="黑体" w:hAnsi="黑体"/>
          <w:color w:val="000000" w:themeColor="text1"/>
          <w14:textFill>
            <w14:solidFill>
              <w14:schemeClr w14:val="tx1"/>
            </w14:solidFill>
          </w14:textFill>
        </w:rPr>
        <w:t>10.1 500kV电容式电压互感器一次、二次及土建接口要求</w:t>
      </w:r>
      <w:bookmarkEnd w:id="223"/>
    </w:p>
    <w:p>
      <w:pPr>
        <w:pStyle w:val="152"/>
        <w:spacing w:line="360" w:lineRule="auto"/>
        <w:ind w:firstLine="0" w:firstLineChars="0"/>
        <w:rPr>
          <w:rFonts w:ascii="黑体" w:hAnsi="宋体" w:eastAsia="黑体"/>
          <w:color w:val="000000" w:themeColor="text1"/>
          <w14:textFill>
            <w14:solidFill>
              <w14:schemeClr w14:val="tx1"/>
            </w14:solidFill>
          </w14:textFill>
        </w:rPr>
      </w:pPr>
      <w:r>
        <w:rPr>
          <w:rFonts w:hint="eastAsia" w:ascii="黑体" w:hAnsi="宋体" w:eastAsia="黑体"/>
          <w:color w:val="000000" w:themeColor="text1"/>
          <w14:textFill>
            <w14:solidFill>
              <w14:schemeClr w14:val="tx1"/>
            </w14:solidFill>
          </w14:textFill>
        </w:rPr>
        <w:t>10.1.1电气一次接口</w:t>
      </w:r>
      <w:bookmarkEnd w:id="224"/>
    </w:p>
    <w:p>
      <w:pPr>
        <w:adjustRightInd w:val="0"/>
        <w:snapToGrid w:val="0"/>
        <w:spacing w:line="360" w:lineRule="auto"/>
        <w:rPr>
          <w:color w:val="000000" w:themeColor="text1"/>
          <w14:textFill>
            <w14:solidFill>
              <w14:schemeClr w14:val="tx1"/>
            </w14:solidFill>
          </w14:textFill>
        </w:rPr>
      </w:pPr>
      <w:bookmarkStart w:id="225" w:name="_Toc384341048"/>
      <w:r>
        <w:rPr>
          <w:rFonts w:hint="eastAsia"/>
          <w:color w:val="000000" w:themeColor="text1"/>
          <w14:textFill>
            <w14:solidFill>
              <w14:schemeClr w14:val="tx1"/>
            </w14:solidFill>
          </w14:textFill>
        </w:rPr>
        <w:t>1）安装方式</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采用高位布置，安装在支架上，用螺栓与支架固定。安装底座螺孔中心距离及螺孔大小采用</w:t>
      </w:r>
      <w:r>
        <w:rPr>
          <w:rFonts w:hint="eastAsia" w:hAnsi="宋体"/>
          <w:color w:val="000000" w:themeColor="text1"/>
          <w14:textFill>
            <w14:solidFill>
              <w14:schemeClr w14:val="tx1"/>
            </w14:solidFill>
          </w14:textFill>
        </w:rPr>
        <w:t>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w:t>
      </w:r>
      <w:r>
        <w:rPr>
          <w:rFonts w:hint="eastAsia"/>
          <w:color w:val="000000" w:themeColor="text1"/>
          <w14:textFill>
            <w14:solidFill>
              <w14:schemeClr w14:val="tx1"/>
            </w14:solidFill>
          </w14:textFill>
        </w:rPr>
        <w:t>，4-Φ24mm。</w:t>
      </w:r>
    </w:p>
    <w:p>
      <w:pPr>
        <w:pStyle w:val="43"/>
        <w:adjustRightInd w:val="0"/>
        <w:snapToGrid w:val="0"/>
        <w:spacing w:line="360" w:lineRule="auto"/>
        <w:ind w:firstLine="420" w:firstLineChars="20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740025" cy="2164715"/>
            <wp:effectExtent l="0" t="0" r="317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a:srcRect/>
                    <a:stretch>
                      <a:fillRect/>
                    </a:stretch>
                  </pic:blipFill>
                  <pic:spPr>
                    <a:xfrm>
                      <a:off x="0" y="0"/>
                      <a:ext cx="2740025" cy="2164715"/>
                    </a:xfrm>
                    <a:prstGeom prst="rect">
                      <a:avLst/>
                    </a:prstGeom>
                    <a:noFill/>
                    <a:ln w="9525">
                      <a:noFill/>
                      <a:miter lim="800000"/>
                      <a:headEnd/>
                      <a:tailEnd/>
                    </a:ln>
                  </pic:spPr>
                </pic:pic>
              </a:graphicData>
            </a:graphic>
          </wp:inline>
        </w:drawing>
      </w:r>
    </w:p>
    <w:p>
      <w:pPr>
        <w:pStyle w:val="152"/>
        <w:adjustRightInd w:val="0"/>
        <w:snapToGrid w:val="0"/>
        <w:spacing w:after="120" w:afterLines="50" w:line="360" w:lineRule="auto"/>
        <w:ind w:firstLine="199" w:firstLineChars="95"/>
        <w:jc w:val="center"/>
        <w:outlineLvl w:val="8"/>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图10.1    底座开孔图</w:t>
      </w:r>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2）接线端子板</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端子板结构为平板式，材质为铝合金</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采用加强筋结构</w:t>
      </w:r>
      <w:r>
        <w:rPr>
          <w:rFonts w:hint="eastAsia"/>
          <w:color w:val="000000" w:themeColor="text1"/>
          <w14:textFill>
            <w14:solidFill>
              <w14:schemeClr w14:val="tx1"/>
            </w14:solidFill>
          </w14:textFill>
        </w:rPr>
        <w:t>。详见下图：</w:t>
      </w:r>
    </w:p>
    <w:p>
      <w:pPr>
        <w:spacing w:line="360" w:lineRule="auto"/>
        <w:ind w:firstLine="472" w:firstLineChars="225"/>
        <w:jc w:val="center"/>
        <w:rPr>
          <w:rFonts w:ascii="宋体" w:hAnsi="宋体"/>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114300" distR="114300">
            <wp:extent cx="1762760" cy="1343025"/>
            <wp:effectExtent l="0" t="0" r="0" b="9525"/>
            <wp:docPr id="14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 name="图片 4"/>
                    <pic:cNvPicPr>
                      <a:picLocks noChangeAspect="1"/>
                    </pic:cNvPicPr>
                  </pic:nvPicPr>
                  <pic:blipFill>
                    <a:blip r:embed="rId21">
                      <a:clrChange>
                        <a:clrFrom>
                          <a:srgbClr val="FFFFFF"/>
                        </a:clrFrom>
                        <a:clrTo>
                          <a:srgbClr val="FFFFFF">
                            <a:alpha val="0"/>
                          </a:srgbClr>
                        </a:clrTo>
                      </a:clrChange>
                    </a:blip>
                    <a:stretch>
                      <a:fillRect/>
                    </a:stretch>
                  </pic:blipFill>
                  <pic:spPr>
                    <a:xfrm>
                      <a:off x="0" y="0"/>
                      <a:ext cx="1762760" cy="1343025"/>
                    </a:xfrm>
                    <a:prstGeom prst="rect">
                      <a:avLst/>
                    </a:prstGeom>
                    <a:noFill/>
                    <a:ln w="9525">
                      <a:noFill/>
                    </a:ln>
                  </pic:spPr>
                </pic:pic>
              </a:graphicData>
            </a:graphic>
          </wp:inline>
        </w:drawing>
      </w:r>
    </w:p>
    <w:p>
      <w:pPr>
        <w:pStyle w:val="152"/>
        <w:adjustRightInd w:val="0"/>
        <w:snapToGrid w:val="0"/>
        <w:spacing w:after="120" w:afterLines="50" w:line="360" w:lineRule="auto"/>
        <w:ind w:firstLine="199" w:firstLineChars="95"/>
        <w:jc w:val="center"/>
        <w:outlineLvl w:val="8"/>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图10.2    接线端子</w:t>
      </w:r>
    </w:p>
    <w:p>
      <w:pPr>
        <w:pStyle w:val="152"/>
        <w:spacing w:line="360" w:lineRule="auto"/>
        <w:ind w:firstLine="0" w:firstLineChars="0"/>
        <w:rPr>
          <w:rFonts w:ascii="黑体" w:hAnsi="宋体" w:eastAsia="黑体"/>
          <w:color w:val="000000" w:themeColor="text1"/>
          <w14:textFill>
            <w14:solidFill>
              <w14:schemeClr w14:val="tx1"/>
            </w14:solidFill>
          </w14:textFill>
        </w:rPr>
      </w:pPr>
      <w:bookmarkStart w:id="226" w:name="_Toc388000510"/>
      <w:r>
        <w:rPr>
          <w:rFonts w:hint="eastAsia" w:ascii="黑体" w:hAnsi="宋体" w:eastAsia="黑体"/>
          <w:color w:val="000000" w:themeColor="text1"/>
          <w14:textFill>
            <w14:solidFill>
              <w14:schemeClr w14:val="tx1"/>
            </w14:solidFill>
          </w14:textFill>
        </w:rPr>
        <w:t>10.1.2电气二次接口</w:t>
      </w:r>
      <w:bookmarkEnd w:id="226"/>
    </w:p>
    <w:p>
      <w:pPr>
        <w:adjustRightInd w:val="0"/>
        <w:snapToGrid w:val="0"/>
        <w:spacing w:line="360" w:lineRule="auto"/>
        <w:rPr>
          <w:color w:val="000000" w:themeColor="text1"/>
          <w14:textFill>
            <w14:solidFill>
              <w14:schemeClr w14:val="tx1"/>
            </w14:solidFill>
          </w14:textFill>
        </w:rPr>
      </w:pPr>
      <w:r>
        <w:rPr>
          <w:rFonts w:hint="eastAsia"/>
          <w:color w:val="000000" w:themeColor="text1"/>
          <w14:textFill>
            <w14:solidFill>
              <w14:schemeClr w14:val="tx1"/>
            </w14:solidFill>
          </w14:textFill>
        </w:rPr>
        <w:t>1）出线端子标志</w:t>
      </w:r>
    </w:p>
    <w:p>
      <w:pPr>
        <w:adjustRightInd w:val="0"/>
        <w:snapToGrid w:val="0"/>
        <w:spacing w:line="360" w:lineRule="auto"/>
        <w:ind w:firstLine="210" w:firstLineChars="100"/>
        <w:rPr>
          <w:color w:val="000000" w:themeColor="text1"/>
          <w14:textFill>
            <w14:solidFill>
              <w14:schemeClr w14:val="tx1"/>
            </w14:solidFill>
          </w14:textFill>
        </w:rPr>
      </w:pPr>
      <w:r>
        <w:rPr>
          <w:rFonts w:hint="eastAsia"/>
          <w:color w:val="000000" w:themeColor="text1"/>
          <w14:textFill>
            <w14:solidFill>
              <w14:schemeClr w14:val="tx1"/>
            </w14:solidFill>
          </w14:textFill>
        </w:rPr>
        <w:t>（1）出线端子应标志下列内容：</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a.一次绕组和二次绕组、剩余电压绕组（如果有）；</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b.中间抽头（如果有）；</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c.绕组的极性关系。</w:t>
      </w:r>
    </w:p>
    <w:p>
      <w:pPr>
        <w:adjustRightInd w:val="0"/>
        <w:snapToGrid w:val="0"/>
        <w:spacing w:line="360" w:lineRule="auto"/>
        <w:ind w:firstLine="210" w:firstLineChars="100"/>
        <w:rPr>
          <w:color w:val="000000" w:themeColor="text1"/>
          <w14:textFill>
            <w14:solidFill>
              <w14:schemeClr w14:val="tx1"/>
            </w14:solidFill>
          </w14:textFill>
        </w:rPr>
      </w:pPr>
      <w:r>
        <w:rPr>
          <w:rFonts w:hint="eastAsia"/>
          <w:color w:val="000000" w:themeColor="text1"/>
          <w14:textFill>
            <w14:solidFill>
              <w14:schemeClr w14:val="tx1"/>
            </w14:solidFill>
          </w14:textFill>
        </w:rPr>
        <w:t>（2）标志方法</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出线端子标志由字母和数字组成，字母应为大写印刷体，并应清晰牢固地标在出线端子表面或近旁处。</w:t>
      </w:r>
    </w:p>
    <w:p>
      <w:pPr>
        <w:pStyle w:val="152"/>
        <w:spacing w:line="360" w:lineRule="auto"/>
        <w:ind w:firstLine="0" w:firstLineChars="0"/>
        <w:rPr>
          <w:rFonts w:ascii="黑体" w:hAnsi="宋体" w:eastAsia="黑体"/>
          <w:color w:val="000000" w:themeColor="text1"/>
          <w14:textFill>
            <w14:solidFill>
              <w14:schemeClr w14:val="tx1"/>
            </w14:solidFill>
          </w14:textFill>
        </w:rPr>
        <w:sectPr>
          <w:headerReference r:id="rId7" w:type="default"/>
          <w:footerReference r:id="rId8" w:type="default"/>
          <w:footerReference r:id="rId9" w:type="even"/>
          <w:pgSz w:w="11906" w:h="16838"/>
          <w:pgMar w:top="1247" w:right="1134" w:bottom="1701" w:left="1814" w:header="680" w:footer="1134" w:gutter="0"/>
          <w:pgNumType w:start="1"/>
          <w:cols w:space="720" w:num="1"/>
          <w:docGrid w:linePitch="435" w:charSpace="0"/>
        </w:sectPr>
      </w:pPr>
      <w:bookmarkStart w:id="227" w:name="_Toc388000511"/>
      <w:r>
        <w:rPr>
          <w:rFonts w:hint="eastAsia" w:ascii="黑体" w:hAnsi="宋体" w:eastAsia="黑体"/>
          <w:color w:val="000000" w:themeColor="text1"/>
          <w14:textFill>
            <w14:solidFill>
              <w14:schemeClr w14:val="tx1"/>
            </w14:solidFill>
          </w14:textFill>
        </w:rPr>
        <w:t>10.1.3安装图</w:t>
      </w:r>
      <w:bookmarkEnd w:id="227"/>
    </w:p>
    <w:p>
      <w:pPr>
        <w:pStyle w:val="152"/>
        <w:adjustRightInd w:val="0"/>
        <w:snapToGrid w:val="0"/>
        <w:spacing w:before="120" w:after="120" w:line="360" w:lineRule="auto"/>
        <w:ind w:firstLine="199" w:firstLineChars="95"/>
        <w:jc w:val="center"/>
        <w:outlineLvl w:val="8"/>
        <w:rPr>
          <w:color w:val="000000" w:themeColor="text1"/>
          <w14:textFill>
            <w14:solidFill>
              <w14:schemeClr w14:val="tx1"/>
            </w14:solidFill>
          </w14:textFill>
        </w:rPr>
      </w:pPr>
      <w:r>
        <w:rPr>
          <w:color w:val="000000" w:themeColor="text1"/>
          <w14:textFill>
            <w14:solidFill>
              <w14:schemeClr w14:val="tx1"/>
            </w14:solidFill>
          </w14:textFill>
        </w:rPr>
        <w:object>
          <v:shape id="_x0000_i1028" o:spt="75" type="#_x0000_t75" style="height:402pt;width:648.75pt;" o:ole="t" filled="f" o:preferrelative="t" stroked="f" coordsize="21600,21600">
            <v:path/>
            <v:fill on="f" focussize="0,0"/>
            <v:stroke on="f"/>
            <v:imagedata r:id="rId23" cropleft="23091f" croptop="20361f" cropright="21480f" cropbottom="18388f" o:title=""/>
            <o:lock v:ext="edit" aspectratio="t"/>
            <w10:wrap type="none"/>
            <w10:anchorlock/>
          </v:shape>
          <o:OLEObject Type="Embed" ProgID="AutoCAD.Drawing.23" ShapeID="_x0000_i1028" DrawAspect="Content" ObjectID="_1468075728" r:id="rId22">
            <o:LockedField>false</o:LockedField>
          </o:OLEObject>
        </w:object>
      </w:r>
    </w:p>
    <w:p>
      <w:pPr>
        <w:pStyle w:val="152"/>
        <w:adjustRightInd w:val="0"/>
        <w:snapToGrid w:val="0"/>
        <w:spacing w:before="120" w:after="120" w:line="360" w:lineRule="auto"/>
        <w:ind w:firstLine="199" w:firstLineChars="95"/>
        <w:jc w:val="center"/>
        <w:outlineLvl w:val="8"/>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图10.5    500kV电容式电压互感器安装图</w:t>
      </w:r>
    </w:p>
    <w:p>
      <w:pPr>
        <w:rPr>
          <w:rFonts w:ascii="黑体"/>
          <w:bCs/>
          <w:color w:val="000000" w:themeColor="text1"/>
          <w14:textFill>
            <w14:solidFill>
              <w14:schemeClr w14:val="tx1"/>
            </w14:solidFill>
          </w14:textFill>
        </w:rPr>
        <w:sectPr>
          <w:footerReference r:id="rId10" w:type="default"/>
          <w:pgSz w:w="16838" w:h="11906" w:orient="landscape"/>
          <w:pgMar w:top="1134" w:right="1701" w:bottom="1814" w:left="1247" w:header="680" w:footer="1134" w:gutter="0"/>
          <w:cols w:space="720" w:num="1"/>
          <w:docGrid w:linePitch="435" w:charSpace="0"/>
        </w:sectPr>
      </w:pP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28" w:name="_Toc22390024"/>
      <w:r>
        <w:rPr>
          <w:rFonts w:hint="eastAsia" w:ascii="黑体" w:hAnsi="黑体"/>
          <w:color w:val="000000" w:themeColor="text1"/>
          <w14:textFill>
            <w14:solidFill>
              <w14:schemeClr w14:val="tx1"/>
            </w14:solidFill>
          </w14:textFill>
        </w:rPr>
        <w:t>10.2 220kV电容式电压互感器一次、二次及土建接口要求</w:t>
      </w:r>
      <w:bookmarkEnd w:id="228"/>
    </w:p>
    <w:p>
      <w:pPr>
        <w:spacing w:line="360" w:lineRule="auto"/>
        <w:rPr>
          <w:rFonts w:ascii="黑体" w:eastAsia="黑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10.2.1电气一次接口</w:t>
      </w:r>
    </w:p>
    <w:p>
      <w:pPr>
        <w:spacing w:line="360" w:lineRule="auto"/>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1）安装方式</w:t>
      </w:r>
    </w:p>
    <w:p>
      <w:pPr>
        <w:pStyle w:val="43"/>
        <w:adjustRightInd w:val="0"/>
        <w:snapToGrid w:val="0"/>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采用高位布置,安装在支架上,用螺栓与支架固定。安装底座螺孔中心距离及螺孔大小采用5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0mm,4-φ24mm。</w:t>
      </w:r>
    </w:p>
    <w:p>
      <w:pPr>
        <w:pStyle w:val="43"/>
        <w:adjustRightInd w:val="0"/>
        <w:snapToGrid w:val="0"/>
        <w:spacing w:line="360" w:lineRule="auto"/>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740025" cy="2164715"/>
            <wp:effectExtent l="0" t="0" r="317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a:srcRect/>
                    <a:stretch>
                      <a:fillRect/>
                    </a:stretch>
                  </pic:blipFill>
                  <pic:spPr>
                    <a:xfrm>
                      <a:off x="0" y="0"/>
                      <a:ext cx="2740025" cy="2164715"/>
                    </a:xfrm>
                    <a:prstGeom prst="rect">
                      <a:avLst/>
                    </a:prstGeom>
                    <a:noFill/>
                    <a:ln w="9525">
                      <a:noFill/>
                      <a:miter lim="800000"/>
                      <a:headEnd/>
                      <a:tailEnd/>
                    </a:ln>
                  </pic:spPr>
                </pic:pic>
              </a:graphicData>
            </a:graphic>
          </wp:inline>
        </w:drawing>
      </w:r>
    </w:p>
    <w:p>
      <w:pPr>
        <w:pStyle w:val="43"/>
        <w:adjustRightInd w:val="0"/>
        <w:snapToGrid w:val="0"/>
        <w:spacing w:line="360" w:lineRule="auto"/>
        <w:jc w:val="center"/>
        <w:rPr>
          <w:strike/>
          <w:color w:val="000000" w:themeColor="text1"/>
          <w14:textFill>
            <w14:solidFill>
              <w14:schemeClr w14:val="tx1"/>
            </w14:solidFill>
          </w14:textFill>
        </w:rPr>
      </w:pPr>
      <w:r>
        <w:rPr>
          <w:rFonts w:hint="eastAsia"/>
          <w:color w:val="000000" w:themeColor="text1"/>
          <w14:textFill>
            <w14:solidFill>
              <w14:schemeClr w14:val="tx1"/>
            </w14:solidFill>
          </w14:textFill>
        </w:rPr>
        <w:t>图10.6 底座开孔图</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 接线端子板</w:t>
      </w:r>
    </w:p>
    <w:p>
      <w:pPr>
        <w:adjustRightInd w:val="0"/>
        <w:snapToGrid w:val="0"/>
        <w:spacing w:line="360" w:lineRule="auto"/>
        <w:ind w:firstLine="420" w:firstLineChars="200"/>
        <w:rPr>
          <w:rFonts w:ascii="宋体"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端子板结构为平板式，材质为铝合金</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采用加强筋结构</w:t>
      </w:r>
      <w:r>
        <w:rPr>
          <w:rFonts w:hint="eastAsia"/>
          <w:color w:val="000000" w:themeColor="text1"/>
          <w14:textFill>
            <w14:solidFill>
              <w14:schemeClr w14:val="tx1"/>
            </w14:solidFill>
          </w14:textFill>
        </w:rPr>
        <w:t>。详见下图：</w:t>
      </w:r>
    </w:p>
    <w:p>
      <w:pPr>
        <w:spacing w:before="120" w:beforeLines="50" w:after="120" w:afterLines="50" w:line="360" w:lineRule="auto"/>
        <w:jc w:val="cente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762760" cy="1343025"/>
            <wp:effectExtent l="0" t="0" r="0" b="317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1">
                      <a:clrChange>
                        <a:clrFrom>
                          <a:srgbClr val="FFFFFF"/>
                        </a:clrFrom>
                        <a:clrTo>
                          <a:srgbClr val="FFFFFF">
                            <a:alpha val="0"/>
                          </a:srgbClr>
                        </a:clrTo>
                      </a:clrChange>
                    </a:blip>
                    <a:stretch>
                      <a:fillRect/>
                    </a:stretch>
                  </pic:blipFill>
                  <pic:spPr>
                    <a:xfrm>
                      <a:off x="0" y="0"/>
                      <a:ext cx="1762760" cy="1343025"/>
                    </a:xfrm>
                    <a:prstGeom prst="rect">
                      <a:avLst/>
                    </a:prstGeom>
                    <a:noFill/>
                    <a:ln w="9525">
                      <a:noFill/>
                    </a:ln>
                  </pic:spPr>
                </pic:pic>
              </a:graphicData>
            </a:graphic>
          </wp:inline>
        </w:drawing>
      </w:r>
    </w:p>
    <w:p>
      <w:pPr>
        <w:spacing w:before="120" w:beforeLines="50" w:after="120" w:afterLines="50" w:line="360" w:lineRule="auto"/>
        <w:jc w:val="center"/>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图10.7 接线端子</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 设备本体接地</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电压互感器设备外壳应可靠接地，接地处应有明显的接地符号或“接地”字样。接地引线地面以上部分采用黄绿接地漆标识，接地漆的间隔宽度、顺序一致。</w:t>
      </w:r>
    </w:p>
    <w:p>
      <w:pPr>
        <w:pStyle w:val="43"/>
        <w:adjustRightInd w:val="0"/>
        <w:snapToGrid w:val="0"/>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一次设备本体接地接地端子采用50mm×90mm规格，孔的大小为2-φ14mm，孔中心距离为40mm。详见下图：</w:t>
      </w:r>
    </w:p>
    <w:p>
      <w:pPr>
        <w:pStyle w:val="43"/>
        <w:adjustRightInd w:val="0"/>
        <w:snapToGrid w:val="0"/>
        <w:spacing w:line="360" w:lineRule="auto"/>
        <w:jc w:val="center"/>
        <w:rPr>
          <w:color w:val="000000" w:themeColor="text1"/>
          <w14:textFill>
            <w14:solidFill>
              <w14:schemeClr w14:val="tx1"/>
            </w14:solidFill>
          </w14:textFill>
        </w:rPr>
      </w:pPr>
      <w:r>
        <w:rPr>
          <w:color w:val="000000" w:themeColor="text1"/>
          <w14:textFill>
            <w14:solidFill>
              <w14:schemeClr w14:val="tx1"/>
            </w14:solidFill>
          </w14:textFill>
        </w:rPr>
        <w:object>
          <v:shape id="_x0000_i1029" o:spt="75" type="#_x0000_t75" style="height:125.25pt;width:151.5pt;" o:ole="t" filled="f" o:preferrelative="t" stroked="f" coordsize="21600,21600">
            <v:path/>
            <v:fill on="f" focussize="0,0"/>
            <v:stroke on="f" joinstyle="miter"/>
            <v:imagedata r:id="rId25" o:title=""/>
            <o:lock v:ext="edit" aspectratio="t"/>
            <w10:wrap type="none"/>
            <w10:anchorlock/>
          </v:shape>
          <o:OLEObject Type="Embed" ProgID="AutoCAD.Drawing.17" ShapeID="_x0000_i1029" DrawAspect="Content" ObjectID="_1468075729" r:id="rId24">
            <o:LockedField>false</o:LockedField>
          </o:OLEObject>
        </w:object>
      </w:r>
    </w:p>
    <w:p>
      <w:pPr>
        <w:pStyle w:val="43"/>
        <w:adjustRightInd w:val="0"/>
        <w:snapToGrid w:val="0"/>
        <w:spacing w:line="360" w:lineRule="auto"/>
        <w:jc w:val="center"/>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图10.8 本体接线端子大样图</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10.2.2电气二次接口</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1）出线端子标志</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（1）出线端子应标志下列内容：</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a.一次绕组和二次绕组、剩余电压绕组(如果有)；</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b.中间抽头(如果有)；</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c.绕组的极性关系。</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（2）标志方法</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出线端子标志由字母和数字组成，字母应为大写印刷体，并应清晰牢固地标在出线端子表面或近旁处。</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（3）标志内容</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以单相A相为例，电容式电压互感器的高电压端子和低电压端子分别用大写英文字母A和N表示；互感器的二次端子分别用a和n表示；剩余电压绕组的端子分别用da和dn表示；互感器的中间电压端子用A</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表示。</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当互感器有多个二次绕组时，可分别在第一个、第二个</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绕组出线端子的标志字母前冠以1、2</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 xml:space="preserve"> ；当二次绕组具有中间抽头时，可在二次绕组的首端和中间抽头端子的标志字母后冠以1、2</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 xml:space="preserve"> 。</w:t>
      </w:r>
    </w:p>
    <w:p>
      <w:pPr>
        <w:spacing w:line="360" w:lineRule="auto"/>
        <w:ind w:firstLine="420" w:firstLineChars="200"/>
        <w:rPr>
          <w:rFonts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电容式电压互感器的端子标志示意图如图10.9所示，图10.9表示互感器有两个二次绕组，一个剩余绕组。</w:t>
      </w:r>
    </w:p>
    <w:p>
      <w:pPr>
        <w:spacing w:line="360" w:lineRule="auto"/>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drawing>
          <wp:inline distT="0" distB="0" distL="0" distR="0">
            <wp:extent cx="1964055" cy="171132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6" cstate="print"/>
                    <a:srcRect/>
                    <a:stretch>
                      <a:fillRect/>
                    </a:stretch>
                  </pic:blipFill>
                  <pic:spPr>
                    <a:xfrm>
                      <a:off x="0" y="0"/>
                      <a:ext cx="1965746" cy="1712965"/>
                    </a:xfrm>
                    <a:prstGeom prst="rect">
                      <a:avLst/>
                    </a:prstGeom>
                    <a:noFill/>
                    <a:ln w="9525">
                      <a:noFill/>
                      <a:miter lim="800000"/>
                      <a:headEnd/>
                      <a:tailEnd/>
                    </a:ln>
                  </pic:spPr>
                </pic:pic>
              </a:graphicData>
            </a:graphic>
          </wp:inline>
        </w:drawing>
      </w:r>
    </w:p>
    <w:p>
      <w:pPr>
        <w:spacing w:before="120" w:beforeLines="50" w:after="120" w:afterLines="50" w:line="360"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图10.9 220kV电容式电压互感器端子标志示意图</w:t>
      </w:r>
    </w:p>
    <w:p>
      <w:pPr>
        <w:spacing w:before="120" w:beforeLines="50" w:after="120" w:afterLines="50" w:line="360" w:lineRule="auto"/>
        <w:rPr>
          <w:rFonts w:ascii="黑体" w:eastAsia="黑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10.2.3.土建接口</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1）支架</w:t>
      </w:r>
    </w:p>
    <w:p>
      <w:pPr>
        <w:spacing w:before="120" w:beforeLines="50" w:after="120" w:afterLines="50"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220kV电压互感器支架采用正多边形单条直焊缝钢管</w:t>
      </w:r>
      <w:r>
        <w:rPr>
          <w:rFonts w:hint="eastAsia" w:hAnsi="宋体"/>
          <w:color w:val="000000" w:themeColor="text1"/>
          <w:szCs w:val="21"/>
          <w14:textFill>
            <w14:solidFill>
              <w14:schemeClr w14:val="tx1"/>
            </w14:solidFill>
          </w14:textFill>
        </w:rPr>
        <w:t>φ400mmX6mm</w:t>
      </w:r>
      <w:r>
        <w:rPr>
          <w:rFonts w:hint="eastAsia" w:ascii="宋体" w:hAnsi="宋体"/>
          <w:color w:val="000000" w:themeColor="text1"/>
          <w:szCs w:val="21"/>
          <w14:textFill>
            <w14:solidFill>
              <w14:schemeClr w14:val="tx1"/>
            </w14:solidFill>
          </w14:textFill>
        </w:rPr>
        <w:t>独立柱，封顶钢板670mmX670mmX20mm，板内螺栓孔径为</w:t>
      </w:r>
      <w:r>
        <w:rPr>
          <w:rFonts w:hint="eastAsia" w:hAnsi="宋体"/>
          <w:color w:val="000000" w:themeColor="text1"/>
          <w:szCs w:val="21"/>
          <w14:textFill>
            <w14:solidFill>
              <w14:schemeClr w14:val="tx1"/>
            </w14:solidFill>
          </w14:textFill>
        </w:rPr>
        <w:t>φ24mm，共4个，</w:t>
      </w:r>
      <w:r>
        <w:rPr>
          <w:rFonts w:hint="eastAsia" w:ascii="宋体" w:hAnsi="宋体"/>
          <w:color w:val="000000" w:themeColor="text1"/>
          <w:szCs w:val="21"/>
          <w14:textFill>
            <w14:solidFill>
              <w14:schemeClr w14:val="tx1"/>
            </w14:solidFill>
          </w14:textFill>
        </w:rPr>
        <w:t>螺孔中心距离同电气一次安装要求；每个支架应有两个接地点，接地点高度由具体工程具体确定。所有外露钢材均</w:t>
      </w:r>
      <w:r>
        <w:rPr>
          <w:rFonts w:ascii="宋体" w:hAnsi="宋体"/>
          <w:color w:val="000000" w:themeColor="text1"/>
          <w:szCs w:val="21"/>
          <w14:textFill>
            <w14:solidFill>
              <w14:schemeClr w14:val="tx1"/>
            </w14:solidFill>
          </w14:textFill>
        </w:rPr>
        <w:t>采用</w:t>
      </w:r>
      <w:r>
        <w:rPr>
          <w:rFonts w:hint="eastAsia" w:ascii="宋体" w:hAnsi="宋体"/>
          <w:color w:val="000000" w:themeColor="text1"/>
          <w:szCs w:val="21"/>
          <w14:textFill>
            <w14:solidFill>
              <w14:schemeClr w14:val="tx1"/>
            </w14:solidFill>
          </w14:textFill>
        </w:rPr>
        <w:t>冷喷锌</w:t>
      </w:r>
      <w:r>
        <w:rPr>
          <w:rFonts w:ascii="宋体" w:hAnsi="宋体"/>
          <w:color w:val="000000" w:themeColor="text1"/>
          <w:szCs w:val="21"/>
          <w14:textFill>
            <w14:solidFill>
              <w14:schemeClr w14:val="tx1"/>
            </w14:solidFill>
          </w14:textFill>
        </w:rPr>
        <w:t>防腐，</w:t>
      </w:r>
      <w:r>
        <w:rPr>
          <w:rFonts w:hint="eastAsia" w:ascii="宋体" w:hAnsi="宋体"/>
          <w:color w:val="000000" w:themeColor="text1"/>
          <w:szCs w:val="21"/>
          <w14:textFill>
            <w14:solidFill>
              <w14:schemeClr w14:val="tx1"/>
            </w14:solidFill>
          </w14:textFill>
        </w:rPr>
        <w:t>锌膜厚度不小于150µm。</w:t>
      </w:r>
      <w:r>
        <w:rPr>
          <w:rFonts w:ascii="宋体" w:hAnsi="宋体"/>
          <w:color w:val="000000" w:themeColor="text1"/>
          <w:szCs w:val="21"/>
          <w14:textFill>
            <w14:solidFill>
              <w14:schemeClr w14:val="tx1"/>
            </w14:solidFill>
          </w14:textFill>
        </w:rPr>
        <w:t>对于现场需施工焊接的构件均应涂刷环氧富锌防腐。</w:t>
      </w:r>
    </w:p>
    <w:p>
      <w:pPr>
        <w:tabs>
          <w:tab w:val="left" w:pos="4200"/>
          <w:tab w:val="right" w:pos="9120"/>
        </w:tabs>
        <w:spacing w:line="360" w:lineRule="auto"/>
        <w:ind w:firstLine="5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基础为钢筋混凝土基础，基础顶部即柱脚位置设保护帽，保护帽高出地面150mm，保护帽顶设R=20~30mm的倒角。为提高地面以上部分支架柱脚保护帽的外观质量，要求保护帽采用清水混凝土施工工艺，施工工艺要求需满足《南方电网清水混凝土工程设计、施工导则》的相关要求，清水质量等级采用饰面清水混凝土。</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 支架接地</w:t>
      </w:r>
    </w:p>
    <w:p>
      <w:pPr>
        <w:spacing w:line="360" w:lineRule="auto"/>
        <w:ind w:firstLine="472" w:firstLineChars="225"/>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每个支架应有两个接地点，接地点高度由具体工程具体确定。每个支架上端经接地引线同互感器接线端子可靠连接，支架下端经两根接地引线分别接至地网不同位置。接地引线与支架采用螺栓搭接。螺栓统一采用M12。每个搭接面两个螺栓，竖向分布，支架上端两个螺栓中心线距支架封顶板400mm，支架下端两个螺栓中心线距支架基础400mm。接地引线地面以上部分采用黄绿接地漆标识，接地漆的间隔宽度、顺序一致。详见下图：</w:t>
      </w:r>
    </w:p>
    <w:p>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pict>
          <v:shape id="_x0000_s1026" o:spid="_x0000_s1026" o:spt="75" type="#_x0000_t75" style="position:absolute;left:0pt;margin-left:33.8pt;margin-top:16.85pt;height:135.5pt;width:196.55pt;mso-wrap-distance-left:9pt;mso-wrap-distance-right:9pt;z-index:251660288;mso-width-relative:page;mso-height-relative:page;" o:ole="t" filled="f" o:preferrelative="t" stroked="f" coordsize="21600,21600" wrapcoords="9669 8800 2366 9600 1234 10000 1543 12000 411 13600 206 14000 206 15200 1440 18400 1234 19000 7406 21400 12137 21400 12240 18400 12857 15400 12857 15200 19749 13800 19749 12200 12240 12000 12446 10400 12034 9800 10080 8800 9669 8800">
            <v:path/>
            <v:fill on="f" focussize="0,0"/>
            <v:stroke on="f" joinstyle="miter"/>
            <v:imagedata r:id="rId28" o:title=""/>
            <o:lock v:ext="edit" aspectratio="t"/>
            <w10:wrap type="tight"/>
          </v:shape>
          <o:OLEObject Type="Embed" ProgID="AutoCAD.Drawing.17" ShapeID="_x0000_s1026" DrawAspect="Content" ObjectID="_1468075730" r:id="rId27">
            <o:LockedField>false</o:LockedField>
          </o:OLEObject>
        </w:pict>
      </w:r>
      <w:r>
        <w:rPr>
          <w:color w:val="000000" w:themeColor="text1"/>
          <w:szCs w:val="21"/>
          <w14:textFill>
            <w14:solidFill>
              <w14:schemeClr w14:val="tx1"/>
            </w14:solidFill>
          </w14:textFill>
        </w:rPr>
        <w:object>
          <v:shape id="_x0000_i1030" o:spt="75" type="#_x0000_t75" style="height:167.25pt;width:162.75pt;" o:ole="t" filled="f" o:preferrelative="t" stroked="f" coordsize="21600,21600">
            <v:path/>
            <v:fill on="f" focussize="0,0"/>
            <v:stroke on="f" joinstyle="miter"/>
            <v:imagedata r:id="rId30" o:title=""/>
            <o:lock v:ext="edit" aspectratio="t"/>
            <w10:wrap type="none"/>
            <w10:anchorlock/>
          </v:shape>
          <o:OLEObject Type="Embed" ProgID="AutoCAD.Drawing.17" ShapeID="_x0000_i1030" DrawAspect="Content" ObjectID="_1468075731" r:id="rId29">
            <o:LockedField>false</o:LockedField>
          </o:OLEObject>
        </w:object>
      </w:r>
    </w:p>
    <w:p>
      <w:pPr>
        <w:spacing w:line="360" w:lineRule="auto"/>
        <w:ind w:firstLine="735" w:firstLineChars="3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图10.10支架接地上端子大样图          图10.11支架接地下端子大样图</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 设备荷载</w:t>
      </w:r>
    </w:p>
    <w:p>
      <w:pPr>
        <w:spacing w:before="120" w:beforeLines="50" w:after="120" w:afterLines="50" w:line="360"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drawing>
          <wp:inline distT="0" distB="0" distL="0" distR="0">
            <wp:extent cx="4314190" cy="2403475"/>
            <wp:effectExtent l="19050" t="0" r="0" b="0"/>
            <wp:docPr id="15" name="图片 15" descr="220kV电压互感器在支柱底的荷载-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20kV电压互感器在支柱底的荷载-Model"/>
                    <pic:cNvPicPr>
                      <a:picLocks noChangeAspect="1" noChangeArrowheads="1"/>
                    </pic:cNvPicPr>
                  </pic:nvPicPr>
                  <pic:blipFill>
                    <a:blip r:embed="rId31" cstate="print"/>
                    <a:srcRect t="14256" b="16940"/>
                    <a:stretch>
                      <a:fillRect/>
                    </a:stretch>
                  </pic:blipFill>
                  <pic:spPr>
                    <a:xfrm>
                      <a:off x="0" y="0"/>
                      <a:ext cx="4314190" cy="2403475"/>
                    </a:xfrm>
                    <a:prstGeom prst="rect">
                      <a:avLst/>
                    </a:prstGeom>
                    <a:noFill/>
                    <a:ln w="9525">
                      <a:noFill/>
                      <a:miter lim="800000"/>
                      <a:headEnd/>
                      <a:tailEnd/>
                    </a:ln>
                  </pic:spPr>
                </pic:pic>
              </a:graphicData>
            </a:graphic>
          </wp:inline>
        </w:drawing>
      </w:r>
    </w:p>
    <w:p>
      <w:pPr>
        <w:spacing w:before="120" w:beforeLines="50" w:after="120" w:afterLines="50" w:line="360" w:lineRule="auto"/>
        <w:rPr>
          <w:rFonts w:ascii="黑体" w:eastAsia="黑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10.2.4 安装图</w:t>
      </w:r>
    </w:p>
    <w:p>
      <w:pPr>
        <w:pStyle w:val="186"/>
        <w:snapToGrid w:val="0"/>
        <w:spacing w:line="360" w:lineRule="auto"/>
        <w:rPr>
          <w:rFonts w:ascii="宋体" w:hAnsi="宋体"/>
          <w:color w:val="000000" w:themeColor="text1"/>
          <w:sz w:val="21"/>
          <w:szCs w:val="21"/>
          <w14:textFill>
            <w14:solidFill>
              <w14:schemeClr w14:val="tx1"/>
            </w14:solidFill>
          </w14:textFill>
        </w:rPr>
        <w:sectPr>
          <w:footerReference r:id="rId11" w:type="even"/>
          <w:pgSz w:w="11906" w:h="16838"/>
          <w:pgMar w:top="1247" w:right="1134" w:bottom="1701" w:left="1814" w:header="680" w:footer="1134" w:gutter="0"/>
          <w:cols w:space="720" w:num="1"/>
          <w:docGrid w:linePitch="312" w:charSpace="0"/>
        </w:sectPr>
      </w:pPr>
    </w:p>
    <w:p>
      <w:pPr>
        <w:rPr>
          <w:color w:val="000000" w:themeColor="text1"/>
          <w14:textFill>
            <w14:solidFill>
              <w14:schemeClr w14:val="tx1"/>
            </w14:solidFill>
          </w14:textFill>
        </w:rPr>
      </w:pPr>
      <w:r>
        <w:rPr>
          <w:color w:val="000000" w:themeColor="text1"/>
          <w14:textFill>
            <w14:solidFill>
              <w14:schemeClr w14:val="tx1"/>
            </w14:solidFill>
          </w14:textFill>
        </w:rPr>
        <w:object>
          <v:shape id="_x0000_i1031" o:spt="75" type="#_x0000_t75" style="height:381pt;width:690pt;" o:ole="t" filled="f" o:preferrelative="t" stroked="f" coordsize="21600,21600">
            <v:path/>
            <v:fill on="f" focussize="0,0"/>
            <v:stroke on="f"/>
            <v:imagedata r:id="rId33" o:title=""/>
            <o:lock v:ext="edit" aspectratio="t"/>
            <w10:wrap type="none"/>
            <w10:anchorlock/>
          </v:shape>
          <o:OLEObject Type="Embed" ProgID="AutoCAD.Drawing.17" ShapeID="_x0000_i1031" DrawAspect="Content" ObjectID="_1468075732" r:id="rId32">
            <o:LockedField>false</o:LockedField>
          </o:OLEObject>
        </w:object>
      </w:r>
    </w:p>
    <w:p>
      <w:pPr>
        <w:pStyle w:val="152"/>
        <w:adjustRightInd w:val="0"/>
        <w:snapToGrid w:val="0"/>
        <w:spacing w:before="120" w:after="120" w:line="360" w:lineRule="auto"/>
        <w:ind w:firstLine="199" w:firstLineChars="95"/>
        <w:jc w:val="center"/>
        <w:outlineLvl w:val="8"/>
        <w:rPr>
          <w:rFonts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图10.12   220</w:t>
      </w:r>
      <w:r>
        <w:rPr>
          <w:rFonts w:hint="eastAsia" w:hAnsi="宋体"/>
          <w:color w:val="000000" w:themeColor="text1"/>
          <w:szCs w:val="21"/>
          <w14:textFill>
            <w14:solidFill>
              <w14:schemeClr w14:val="tx1"/>
            </w14:solidFill>
          </w14:textFill>
        </w:rPr>
        <w:t>kV电容式电压互感器安装图</w:t>
      </w:r>
    </w:p>
    <w:p>
      <w:pPr>
        <w:ind w:firstLine="3780" w:firstLineChars="1800"/>
        <w:rPr>
          <w:rFonts w:ascii="宋体" w:hAnsi="宋体"/>
          <w:color w:val="000000" w:themeColor="text1"/>
          <w:sz w:val="21"/>
          <w:szCs w:val="21"/>
          <w14:textFill>
            <w14:solidFill>
              <w14:schemeClr w14:val="tx1"/>
            </w14:solidFill>
          </w14:textFill>
        </w:rPr>
        <w:sectPr>
          <w:pgSz w:w="16838" w:h="11906" w:orient="landscape"/>
          <w:pgMar w:top="1134" w:right="1701" w:bottom="1814" w:left="1247" w:header="680" w:footer="1134" w:gutter="0"/>
          <w:cols w:space="720" w:num="1"/>
          <w:docGrid w:linePitch="312" w:charSpace="0"/>
        </w:sectPr>
      </w:pPr>
    </w:p>
    <w:p>
      <w:pPr>
        <w:spacing w:line="360" w:lineRule="auto"/>
        <w:rPr>
          <w:rFonts w:ascii="宋体" w:hAnsi="宋体"/>
          <w:color w:val="000000" w:themeColor="text1"/>
          <w:szCs w:val="21"/>
          <w14:textFill>
            <w14:solidFill>
              <w14:schemeClr w14:val="tx1"/>
            </w14:solidFill>
          </w14:textFill>
        </w:rPr>
      </w:pPr>
    </w:p>
    <w:p>
      <w:pPr>
        <w:pStyle w:val="5"/>
        <w:numPr>
          <w:ilvl w:val="0"/>
          <w:numId w:val="0"/>
        </w:numPr>
        <w:adjustRightInd w:val="0"/>
        <w:snapToGrid w:val="0"/>
        <w:spacing w:line="360" w:lineRule="auto"/>
        <w:rPr>
          <w:rFonts w:ascii="黑体" w:hAnsi="黑体"/>
          <w:color w:val="000000" w:themeColor="text1"/>
          <w14:textFill>
            <w14:solidFill>
              <w14:schemeClr w14:val="tx1"/>
            </w14:solidFill>
          </w14:textFill>
        </w:rPr>
      </w:pPr>
      <w:bookmarkStart w:id="229" w:name="_Toc22390025"/>
      <w:r>
        <w:rPr>
          <w:rFonts w:hint="eastAsia" w:ascii="黑体" w:hAnsi="黑体"/>
          <w:color w:val="000000" w:themeColor="text1"/>
          <w14:textFill>
            <w14:solidFill>
              <w14:schemeClr w14:val="tx1"/>
            </w14:solidFill>
          </w14:textFill>
        </w:rPr>
        <w:t>10.3 110kV电容式电压互感器一次、二次及土建接口要求</w:t>
      </w:r>
      <w:bookmarkEnd w:id="229"/>
    </w:p>
    <w:p>
      <w:pPr>
        <w:spacing w:before="120" w:beforeLines="50" w:after="120" w:afterLines="50" w:line="360" w:lineRule="auto"/>
        <w:rPr>
          <w:rFonts w:ascii="黑体" w:eastAsia="黑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10.3.1电气一次接口</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 安装方式</w:t>
      </w:r>
    </w:p>
    <w:p>
      <w:pPr>
        <w:pStyle w:val="43"/>
        <w:adjustRightInd w:val="0"/>
        <w:snapToGrid w:val="0"/>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采用高位布置,安装在支架上,用螺栓与支架固定。安装底座螺孔中心距离及螺孔大小采用5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0mm×5</w:t>
      </w:r>
      <w:r>
        <w:rPr>
          <w:rFonts w:hint="eastAsia" w:hAnsi="宋体"/>
          <w:color w:val="000000" w:themeColor="text1"/>
          <w:lang w:val="en-US" w:eastAsia="zh-CN"/>
          <w14:textFill>
            <w14:solidFill>
              <w14:schemeClr w14:val="tx1"/>
            </w14:solidFill>
          </w14:textFill>
        </w:rPr>
        <w:t>3</w:t>
      </w:r>
      <w:r>
        <w:rPr>
          <w:rFonts w:hint="eastAsia" w:hAnsi="宋体"/>
          <w:color w:val="000000" w:themeColor="text1"/>
          <w14:textFill>
            <w14:solidFill>
              <w14:schemeClr w14:val="tx1"/>
            </w14:solidFill>
          </w14:textFill>
        </w:rPr>
        <w:t>0mm,4-φ24mm。</w:t>
      </w:r>
    </w:p>
    <w:p>
      <w:pPr>
        <w:pStyle w:val="43"/>
        <w:adjustRightInd w:val="0"/>
        <w:snapToGrid w:val="0"/>
        <w:spacing w:line="360" w:lineRule="auto"/>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740025" cy="2164715"/>
            <wp:effectExtent l="0" t="0" r="31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0"/>
                    <a:srcRect/>
                    <a:stretch>
                      <a:fillRect/>
                    </a:stretch>
                  </pic:blipFill>
                  <pic:spPr>
                    <a:xfrm>
                      <a:off x="0" y="0"/>
                      <a:ext cx="2740025" cy="2164715"/>
                    </a:xfrm>
                    <a:prstGeom prst="rect">
                      <a:avLst/>
                    </a:prstGeom>
                    <a:noFill/>
                    <a:ln w="9525">
                      <a:noFill/>
                      <a:miter lim="800000"/>
                      <a:headEnd/>
                      <a:tailEnd/>
                    </a:ln>
                  </pic:spPr>
                </pic:pic>
              </a:graphicData>
            </a:graphic>
          </wp:inline>
        </w:drawing>
      </w:r>
    </w:p>
    <w:p>
      <w:pPr>
        <w:pStyle w:val="43"/>
        <w:adjustRightInd w:val="0"/>
        <w:snapToGrid w:val="0"/>
        <w:spacing w:line="360" w:lineRule="auto"/>
        <w:jc w:val="center"/>
        <w:rPr>
          <w:strike/>
          <w:color w:val="000000" w:themeColor="text1"/>
          <w14:textFill>
            <w14:solidFill>
              <w14:schemeClr w14:val="tx1"/>
            </w14:solidFill>
          </w14:textFill>
        </w:rPr>
      </w:pPr>
      <w:r>
        <w:rPr>
          <w:rFonts w:hint="eastAsia"/>
          <w:color w:val="000000" w:themeColor="text1"/>
          <w14:textFill>
            <w14:solidFill>
              <w14:schemeClr w14:val="tx1"/>
            </w14:solidFill>
          </w14:textFill>
        </w:rPr>
        <w:t>图10.13 底座开孔图</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2）接线端子板</w:t>
      </w:r>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端子板结构为平板式，材质为铝合金</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采用加强筋结构</w:t>
      </w:r>
      <w:r>
        <w:rPr>
          <w:rFonts w:hint="eastAsia"/>
          <w:color w:val="000000" w:themeColor="text1"/>
          <w14:textFill>
            <w14:solidFill>
              <w14:schemeClr w14:val="tx1"/>
            </w14:solidFill>
          </w14:textFill>
        </w:rPr>
        <w:t>。详见下图：</w:t>
      </w:r>
    </w:p>
    <w:p>
      <w:pPr>
        <w:spacing w:before="120" w:beforeLines="50" w:after="120" w:afterLines="50" w:line="360" w:lineRule="auto"/>
        <w:jc w:val="cente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762760" cy="1343025"/>
            <wp:effectExtent l="0" t="0" r="0" b="31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1">
                      <a:clrChange>
                        <a:clrFrom>
                          <a:srgbClr val="FFFFFF"/>
                        </a:clrFrom>
                        <a:clrTo>
                          <a:srgbClr val="FFFFFF">
                            <a:alpha val="0"/>
                          </a:srgbClr>
                        </a:clrTo>
                      </a:clrChange>
                    </a:blip>
                    <a:stretch>
                      <a:fillRect/>
                    </a:stretch>
                  </pic:blipFill>
                  <pic:spPr>
                    <a:xfrm>
                      <a:off x="0" y="0"/>
                      <a:ext cx="1762760" cy="1343025"/>
                    </a:xfrm>
                    <a:prstGeom prst="rect">
                      <a:avLst/>
                    </a:prstGeom>
                    <a:noFill/>
                    <a:ln w="9525">
                      <a:noFill/>
                    </a:ln>
                  </pic:spPr>
                </pic:pic>
              </a:graphicData>
            </a:graphic>
          </wp:inline>
        </w:drawing>
      </w:r>
    </w:p>
    <w:p>
      <w:pPr>
        <w:spacing w:before="120" w:beforeLines="50" w:after="120" w:afterLines="50" w:line="360" w:lineRule="auto"/>
        <w:jc w:val="center"/>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图10.14 接线端子</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 设备本体接地</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电压互感器设备外壳应可靠接地，接地处应有明显的接地符号或“接地”字样。接地引线地面以上部分采用黄绿接地漆标识，接地漆的间隔宽度、顺序一致。</w:t>
      </w:r>
    </w:p>
    <w:p>
      <w:pPr>
        <w:pStyle w:val="43"/>
        <w:adjustRightInd w:val="0"/>
        <w:snapToGrid w:val="0"/>
        <w:spacing w:line="360" w:lineRule="auto"/>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一次设备本体接地端子采用50mm×90mm规格，孔的大小为2-φ14mm，孔中心距离为40mm。详见下图：</w:t>
      </w:r>
    </w:p>
    <w:p>
      <w:pPr>
        <w:pStyle w:val="43"/>
        <w:adjustRightInd w:val="0"/>
        <w:snapToGrid w:val="0"/>
        <w:spacing w:line="360" w:lineRule="auto"/>
        <w:jc w:val="center"/>
        <w:rPr>
          <w:color w:val="000000" w:themeColor="text1"/>
          <w14:textFill>
            <w14:solidFill>
              <w14:schemeClr w14:val="tx1"/>
            </w14:solidFill>
          </w14:textFill>
        </w:rPr>
      </w:pPr>
      <w:r>
        <w:rPr>
          <w:color w:val="000000" w:themeColor="text1"/>
          <w14:textFill>
            <w14:solidFill>
              <w14:schemeClr w14:val="tx1"/>
            </w14:solidFill>
          </w14:textFill>
        </w:rPr>
        <w:object>
          <v:shape id="_x0000_i1032" o:spt="75" type="#_x0000_t75" style="height:126.75pt;width:170.25pt;" o:ole="t" filled="f" o:preferrelative="t" stroked="f" coordsize="21600,21600">
            <v:path/>
            <v:fill on="f" focussize="0,0"/>
            <v:stroke on="f" joinstyle="miter"/>
            <v:imagedata r:id="rId25" o:title=""/>
            <o:lock v:ext="edit" aspectratio="t"/>
            <w10:wrap type="none"/>
            <w10:anchorlock/>
          </v:shape>
          <o:OLEObject Type="Embed" ProgID="AutoCAD.Drawing.17" ShapeID="_x0000_i1032" DrawAspect="Content" ObjectID="_1468075733" r:id="rId34">
            <o:LockedField>false</o:LockedField>
          </o:OLEObject>
        </w:object>
      </w:r>
    </w:p>
    <w:p>
      <w:pPr>
        <w:pStyle w:val="43"/>
        <w:adjustRightInd w:val="0"/>
        <w:snapToGrid w:val="0"/>
        <w:spacing w:line="360" w:lineRule="auto"/>
        <w:jc w:val="center"/>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图10.15 本体接线端子大样图</w:t>
      </w:r>
    </w:p>
    <w:p>
      <w:pPr>
        <w:spacing w:before="120" w:beforeLines="50" w:after="120" w:afterLines="50" w:line="360" w:lineRule="auto"/>
        <w:rPr>
          <w:rFonts w:ascii="黑体" w:eastAsia="黑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10.3.2电气二次接口</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1）出线端子标志</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（1）出线端子应标志下列内容：</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a.一次绕组和二次绕组、剩余电压绕组(如果有)；</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b.中间抽头(如果有)；</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c.绕组的极性关系。</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（2）标志方法</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出线端子标志由字母和数字组成，字母应为大写印刷体，并应清晰牢固地标在出线端子表面或近旁处。</w:t>
      </w:r>
    </w:p>
    <w:p>
      <w:pPr>
        <w:spacing w:line="360" w:lineRule="auto"/>
        <w:ind w:firstLine="315" w:firstLineChars="1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（3）标志内容</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以单相A相为例，电容式电压互感器的高电压端子和低电压端子分别用大写英文字母A和N表示；互感器的二次端子分别用a和n表示；剩余电压绕组的端子分别用da和dn表示；互感器的中间电压端子用A</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表示。</w:t>
      </w:r>
    </w:p>
    <w:p>
      <w:pPr>
        <w:spacing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当互感器有多个二次绕组时，可分别在第一个、第二个</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绕组出线端子的标志字母前冠以1、2</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 xml:space="preserve"> ；当二次绕组具有中间抽头时，可在二次绕组的首端和中间抽头端子的标志字母后冠以1、2</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 xml:space="preserve"> 。</w:t>
      </w:r>
    </w:p>
    <w:p>
      <w:pPr>
        <w:spacing w:line="360" w:lineRule="auto"/>
        <w:ind w:firstLine="420" w:firstLineChars="200"/>
        <w:rPr>
          <w:rFonts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电容式电压互感器的端子标志示意图如图10.16所示，图10.16表示互感器有两个二次绕组，一个剩余绕组。</w:t>
      </w:r>
    </w:p>
    <w:p>
      <w:pPr>
        <w:spacing w:line="360" w:lineRule="auto"/>
        <w:jc w:val="center"/>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drawing>
          <wp:inline distT="0" distB="0" distL="0" distR="0">
            <wp:extent cx="1805305" cy="1858010"/>
            <wp:effectExtent l="19050" t="0" r="444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6" cstate="print"/>
                    <a:srcRect/>
                    <a:stretch>
                      <a:fillRect/>
                    </a:stretch>
                  </pic:blipFill>
                  <pic:spPr>
                    <a:xfrm>
                      <a:off x="0" y="0"/>
                      <a:ext cx="1805305" cy="1858010"/>
                    </a:xfrm>
                    <a:prstGeom prst="rect">
                      <a:avLst/>
                    </a:prstGeom>
                    <a:noFill/>
                    <a:ln w="9525">
                      <a:noFill/>
                      <a:miter lim="800000"/>
                      <a:headEnd/>
                      <a:tailEnd/>
                    </a:ln>
                  </pic:spPr>
                </pic:pic>
              </a:graphicData>
            </a:graphic>
          </wp:inline>
        </w:drawing>
      </w:r>
    </w:p>
    <w:p>
      <w:pPr>
        <w:spacing w:line="360"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图10.16  110kV电容式电压互感器端子标志示意图</w:t>
      </w:r>
    </w:p>
    <w:p>
      <w:pPr>
        <w:spacing w:line="360" w:lineRule="auto"/>
        <w:jc w:val="left"/>
        <w:rPr>
          <w:rFonts w:ascii="宋体" w:hAnsi="宋体"/>
          <w:color w:val="000000" w:themeColor="text1"/>
          <w:szCs w:val="21"/>
          <w14:textFill>
            <w14:solidFill>
              <w14:schemeClr w14:val="tx1"/>
            </w14:solidFill>
          </w14:textFill>
        </w:rPr>
      </w:pPr>
      <w:r>
        <w:rPr>
          <w:rFonts w:hint="eastAsia" w:ascii="黑体" w:eastAsia="黑体"/>
          <w:color w:val="000000" w:themeColor="text1"/>
          <w:szCs w:val="21"/>
          <w14:textFill>
            <w14:solidFill>
              <w14:schemeClr w14:val="tx1"/>
            </w14:solidFill>
          </w14:textFill>
        </w:rPr>
        <w:t>10.3.3土建接口</w:t>
      </w:r>
    </w:p>
    <w:p>
      <w:pPr>
        <w:spacing w:line="360" w:lineRule="auto"/>
        <w:jc w:val="left"/>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1）支架</w:t>
      </w:r>
    </w:p>
    <w:p>
      <w:pPr>
        <w:spacing w:before="120" w:beforeLines="50" w:after="120" w:afterLines="50"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110kV电压互感器支架采用正多边形单条直焊缝钢管柱</w:t>
      </w:r>
      <w:r>
        <w:rPr>
          <w:rFonts w:hint="eastAsia" w:hAnsi="宋体"/>
          <w:color w:val="000000" w:themeColor="text1"/>
          <w:szCs w:val="21"/>
          <w14:textFill>
            <w14:solidFill>
              <w14:schemeClr w14:val="tx1"/>
            </w14:solidFill>
          </w14:textFill>
        </w:rPr>
        <w:t>φ350mmX6mm</w:t>
      </w:r>
      <w:r>
        <w:rPr>
          <w:rFonts w:hint="eastAsia" w:ascii="宋体" w:hAnsi="宋体"/>
          <w:color w:val="000000" w:themeColor="text1"/>
          <w:szCs w:val="21"/>
          <w14:textFill>
            <w14:solidFill>
              <w14:schemeClr w14:val="tx1"/>
            </w14:solidFill>
          </w14:textFill>
        </w:rPr>
        <w:t>或等径环形预应力钢筋混凝土水泥杆</w:t>
      </w:r>
      <w:r>
        <w:rPr>
          <w:rFonts w:hint="eastAsia" w:hAnsi="宋体"/>
          <w:color w:val="000000" w:themeColor="text1"/>
          <w:szCs w:val="21"/>
          <w14:textFill>
            <w14:solidFill>
              <w14:schemeClr w14:val="tx1"/>
            </w14:solidFill>
          </w14:textFill>
        </w:rPr>
        <w:t>φ300mm</w:t>
      </w:r>
      <w:r>
        <w:rPr>
          <w:rFonts w:hint="eastAsia" w:ascii="宋体" w:hAnsi="宋体"/>
          <w:color w:val="000000" w:themeColor="text1"/>
          <w:szCs w:val="21"/>
          <w14:textFill>
            <w14:solidFill>
              <w14:schemeClr w14:val="tx1"/>
            </w14:solidFill>
          </w14:textFill>
        </w:rPr>
        <w:t>，封顶钢板均采用670mmX670mmX16mm，板内螺孔孔径为</w:t>
      </w:r>
      <w:r>
        <w:rPr>
          <w:rFonts w:hint="eastAsia" w:hAnsi="宋体"/>
          <w:color w:val="000000" w:themeColor="text1"/>
          <w:szCs w:val="21"/>
          <w14:textFill>
            <w14:solidFill>
              <w14:schemeClr w14:val="tx1"/>
            </w14:solidFill>
          </w14:textFill>
        </w:rPr>
        <w:t>φ24mm，共4个，</w:t>
      </w:r>
      <w:r>
        <w:rPr>
          <w:rFonts w:hint="eastAsia" w:ascii="宋体" w:hAnsi="宋体"/>
          <w:color w:val="000000" w:themeColor="text1"/>
          <w:szCs w:val="21"/>
          <w14:textFill>
            <w14:solidFill>
              <w14:schemeClr w14:val="tx1"/>
            </w14:solidFill>
          </w14:textFill>
        </w:rPr>
        <w:t>螺孔中心距离同电气一次安装要求；所有外露钢材均</w:t>
      </w:r>
      <w:r>
        <w:rPr>
          <w:rFonts w:ascii="宋体" w:hAnsi="宋体"/>
          <w:color w:val="000000" w:themeColor="text1"/>
          <w:szCs w:val="21"/>
          <w14:textFill>
            <w14:solidFill>
              <w14:schemeClr w14:val="tx1"/>
            </w14:solidFill>
          </w14:textFill>
        </w:rPr>
        <w:t>采用</w:t>
      </w:r>
      <w:r>
        <w:rPr>
          <w:rFonts w:hint="eastAsia" w:ascii="宋体" w:hAnsi="宋体"/>
          <w:color w:val="000000" w:themeColor="text1"/>
          <w:szCs w:val="21"/>
          <w14:textFill>
            <w14:solidFill>
              <w14:schemeClr w14:val="tx1"/>
            </w14:solidFill>
          </w14:textFill>
        </w:rPr>
        <w:t>冷喷锌</w:t>
      </w:r>
      <w:r>
        <w:rPr>
          <w:rFonts w:ascii="宋体" w:hAnsi="宋体"/>
          <w:color w:val="000000" w:themeColor="text1"/>
          <w:szCs w:val="21"/>
          <w14:textFill>
            <w14:solidFill>
              <w14:schemeClr w14:val="tx1"/>
            </w14:solidFill>
          </w14:textFill>
        </w:rPr>
        <w:t>防腐，</w:t>
      </w:r>
      <w:r>
        <w:rPr>
          <w:rFonts w:hint="eastAsia" w:ascii="宋体" w:hAnsi="宋体"/>
          <w:color w:val="000000" w:themeColor="text1"/>
          <w:szCs w:val="21"/>
          <w14:textFill>
            <w14:solidFill>
              <w14:schemeClr w14:val="tx1"/>
            </w14:solidFill>
          </w14:textFill>
        </w:rPr>
        <w:t>锌膜厚度不小于150µm。</w:t>
      </w:r>
      <w:r>
        <w:rPr>
          <w:rFonts w:ascii="宋体" w:hAnsi="宋体"/>
          <w:color w:val="000000" w:themeColor="text1"/>
          <w:szCs w:val="21"/>
          <w14:textFill>
            <w14:solidFill>
              <w14:schemeClr w14:val="tx1"/>
            </w14:solidFill>
          </w14:textFill>
        </w:rPr>
        <w:t>对于现场需施工焊接的构件均应涂刷环氧富锌防腐。</w:t>
      </w:r>
    </w:p>
    <w:p>
      <w:pPr>
        <w:spacing w:before="120" w:beforeLines="50" w:after="120" w:afterLines="50" w:line="360" w:lineRule="auto"/>
        <w:ind w:firstLine="420" w:firstLineChars="20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基础为钢筋混凝土基础，基础顶部即柱脚位置设保护帽，保护帽高出地面150mm，保护帽顶设R=20~30mm的倒角。为提高地面以上部分支架柱脚保护帽的外观质量，要求保护帽采用清水混凝土施工工艺，施工工艺要求需满足《南方电网清水混凝土工程设计、施工导则》的相关要求，清水质量等级采用饰面清水混凝土。</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2）支架接地</w:t>
      </w:r>
    </w:p>
    <w:p>
      <w:pPr>
        <w:spacing w:line="360" w:lineRule="auto"/>
        <w:ind w:firstLine="472" w:firstLineChars="225"/>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每个支架应有两个接地点，接地点高度由具体工程具体确定。</w:t>
      </w:r>
    </w:p>
    <w:p>
      <w:pPr>
        <w:spacing w:line="360" w:lineRule="auto"/>
        <w:ind w:firstLine="472" w:firstLineChars="225"/>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钢管支架接地：每个支架上端经接地引线同互感器接线端子可靠连接，支架下端经两根接地引线分别接至地网不同位置。接地引线与支架采用螺栓搭接。螺栓统一采用M12。每个搭接面两个螺栓，竖向分布，支架上端两个螺栓中心线距支架封顶板400mm，支架下端两个螺栓中心线距支架基础400mm。接地引线地面以上部分采用黄绿接地漆标识，接地漆的间隔宽度、顺序一致。详见下图：</w:t>
      </w:r>
    </w:p>
    <w:p>
      <w:pPr>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pict>
          <v:shape id="_x0000_s1027" o:spid="_x0000_s1027" o:spt="75" type="#_x0000_t75" style="position:absolute;left:0pt;margin-left:40.55pt;margin-top:1.2pt;height:115.3pt;width:159.2pt;mso-wrap-distance-left:9pt;mso-wrap-distance-right:9pt;z-index:251661312;mso-width-relative:page;mso-height-relative:page;" o:ole="t" filled="f" o:preferrelative="t" stroked="f" coordsize="21600,21600" wrapcoords="9669 8800 2366 9600 1234 10000 1543 12000 411 13600 206 14000 206 15200 1440 18400 1234 19000 7406 21400 12137 21400 12240 18400 12857 15400 12857 15200 19749 13800 19749 12200 12240 12000 12446 10400 12034 9800 10080 8800 9669 8800">
            <v:path/>
            <v:fill on="f" focussize="0,0"/>
            <v:stroke on="f" joinstyle="miter"/>
            <v:imagedata r:id="rId28" o:title=""/>
            <o:lock v:ext="edit" aspectratio="t"/>
            <w10:wrap type="tight"/>
          </v:shape>
          <o:OLEObject Type="Embed" ProgID="AutoCAD.Drawing.17" ShapeID="_x0000_s1027" DrawAspect="Content" ObjectID="_1468075734" r:id="rId35">
            <o:LockedField>false</o:LockedField>
          </o:OLEObject>
        </w:pict>
      </w:r>
      <w:r>
        <w:rPr>
          <w:color w:val="000000" w:themeColor="text1"/>
          <w:szCs w:val="21"/>
          <w14:textFill>
            <w14:solidFill>
              <w14:schemeClr w14:val="tx1"/>
            </w14:solidFill>
          </w14:textFill>
        </w:rPr>
        <w:object>
          <v:shape id="_x0000_i1033" o:spt="75" type="#_x0000_t75" style="height:109.5pt;width:162.75pt;" o:ole="t" filled="f" o:preferrelative="t" stroked="f" coordsize="21600,21600">
            <v:path/>
            <v:fill on="f" focussize="0,0"/>
            <v:stroke on="f" joinstyle="miter"/>
            <v:imagedata r:id="rId37" o:title=""/>
            <o:lock v:ext="edit" aspectratio="t"/>
            <w10:wrap type="none"/>
            <w10:anchorlock/>
          </v:shape>
          <o:OLEObject Type="Embed" ProgID="AutoCAD.Drawing.17" ShapeID="_x0000_i1033" DrawAspect="Content" ObjectID="_1468075735" r:id="rId36">
            <o:LockedField>false</o:LockedField>
          </o:OLEObject>
        </w:object>
      </w:r>
    </w:p>
    <w:p>
      <w:pPr>
        <w:spacing w:line="360" w:lineRule="auto"/>
        <w:ind w:firstLine="735" w:firstLineChars="350"/>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图10.17 支架接地上端子大样图          图10.18 支架接地下端子大样图</w:t>
      </w:r>
    </w:p>
    <w:p>
      <w:pPr>
        <w:spacing w:line="360" w:lineRule="auto"/>
        <w:ind w:firstLine="472" w:firstLineChars="225"/>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水泥杆接地：水泥杆接地：每根支架两根接地引下线直接引至顶封板。接地引线地面以上部分采用黄绿接地漆标识，接地漆的间隔宽度、顺序一致。</w:t>
      </w:r>
    </w:p>
    <w:p>
      <w:pPr>
        <w:spacing w:before="120" w:beforeLines="50" w:after="120" w:afterLines="50"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 设备荷载</w:t>
      </w:r>
    </w:p>
    <w:p>
      <w:pPr>
        <w:spacing w:line="360" w:lineRule="auto"/>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drawing>
          <wp:inline distT="0" distB="0" distL="0" distR="0">
            <wp:extent cx="3773170" cy="2628900"/>
            <wp:effectExtent l="19050" t="0" r="0" b="0"/>
            <wp:docPr id="22" name="图片 22" descr="110kV电压互感器在支柱底的荷载-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10kV电压互感器在支柱底的荷载-Model"/>
                    <pic:cNvPicPr>
                      <a:picLocks noChangeAspect="1" noChangeArrowheads="1"/>
                    </pic:cNvPicPr>
                  </pic:nvPicPr>
                  <pic:blipFill>
                    <a:blip r:embed="rId38" cstate="print"/>
                    <a:srcRect t="12997"/>
                    <a:stretch>
                      <a:fillRect/>
                    </a:stretch>
                  </pic:blipFill>
                  <pic:spPr>
                    <a:xfrm>
                      <a:off x="0" y="0"/>
                      <a:ext cx="3774558" cy="2630030"/>
                    </a:xfrm>
                    <a:prstGeom prst="rect">
                      <a:avLst/>
                    </a:prstGeom>
                    <a:noFill/>
                    <a:ln w="9525">
                      <a:noFill/>
                      <a:miter lim="800000"/>
                      <a:headEnd/>
                      <a:tailEnd/>
                    </a:ln>
                  </pic:spPr>
                </pic:pic>
              </a:graphicData>
            </a:graphic>
          </wp:inline>
        </w:drawing>
      </w:r>
    </w:p>
    <w:p>
      <w:pPr>
        <w:spacing w:line="360" w:lineRule="auto"/>
        <w:jc w:val="left"/>
        <w:rPr>
          <w:rFonts w:ascii="黑体" w:eastAsia="黑体"/>
          <w:color w:val="000000" w:themeColor="text1"/>
          <w:szCs w:val="21"/>
          <w14:textFill>
            <w14:solidFill>
              <w14:schemeClr w14:val="tx1"/>
            </w14:solidFill>
          </w14:textFill>
        </w:rPr>
        <w:sectPr>
          <w:footerReference r:id="rId12" w:type="even"/>
          <w:pgSz w:w="11906" w:h="16838"/>
          <w:pgMar w:top="1247" w:right="1134" w:bottom="1701" w:left="1814" w:header="680" w:footer="1134" w:gutter="0"/>
          <w:cols w:space="720" w:num="1"/>
          <w:docGrid w:linePitch="312" w:charSpace="0"/>
        </w:sectPr>
      </w:pPr>
      <w:r>
        <w:rPr>
          <w:rFonts w:hint="eastAsia" w:ascii="黑体" w:eastAsia="黑体"/>
          <w:color w:val="000000" w:themeColor="text1"/>
          <w:szCs w:val="21"/>
          <w14:textFill>
            <w14:solidFill>
              <w14:schemeClr w14:val="tx1"/>
            </w14:solidFill>
          </w14:textFill>
        </w:rPr>
        <w:t>10.3.4.安装图</w:t>
      </w:r>
    </w:p>
    <w:p>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object>
          <v:shape id="_x0000_i1034" o:spt="75" type="#_x0000_t75" style="height:397.5pt;width:687.75pt;" o:ole="t" filled="f" o:preferrelative="t" stroked="f" coordsize="21600,21600">
            <v:path/>
            <v:fill on="f" focussize="0,0"/>
            <v:stroke on="f"/>
            <v:imagedata r:id="rId40" o:title=""/>
            <o:lock v:ext="edit" aspectratio="t"/>
            <w10:wrap type="none"/>
            <w10:anchorlock/>
          </v:shape>
          <o:OLEObject Type="Embed" ProgID="AutoCAD.Drawing.17" ShapeID="_x0000_i1034" DrawAspect="Content" ObjectID="_1468075736" r:id="rId39">
            <o:LockedField>false</o:LockedField>
          </o:OLEObject>
        </w:object>
      </w:r>
    </w:p>
    <w:p>
      <w:pPr>
        <w:spacing w:line="360" w:lineRule="auto"/>
        <w:jc w:val="left"/>
        <w:rPr>
          <w:color w:val="000000" w:themeColor="text1"/>
          <w:szCs w:val="21"/>
          <w14:textFill>
            <w14:solidFill>
              <w14:schemeClr w14:val="tx1"/>
            </w14:solidFill>
          </w14:textFill>
        </w:rPr>
      </w:pPr>
    </w:p>
    <w:p>
      <w:pPr>
        <w:pStyle w:val="152"/>
        <w:adjustRightInd w:val="0"/>
        <w:snapToGrid w:val="0"/>
        <w:spacing w:before="120" w:after="120" w:line="360" w:lineRule="auto"/>
        <w:ind w:firstLine="199" w:firstLineChars="95"/>
        <w:jc w:val="center"/>
        <w:outlineLvl w:val="8"/>
        <w:rPr>
          <w:rFonts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图10.19   110</w:t>
      </w:r>
      <w:r>
        <w:rPr>
          <w:rFonts w:hint="eastAsia" w:hAnsi="宋体"/>
          <w:color w:val="000000" w:themeColor="text1"/>
          <w:szCs w:val="21"/>
          <w14:textFill>
            <w14:solidFill>
              <w14:schemeClr w14:val="tx1"/>
            </w14:solidFill>
          </w14:textFill>
        </w:rPr>
        <w:t>kV电容式电压互感器安装图</w:t>
      </w:r>
    </w:p>
    <w:p>
      <w:pPr>
        <w:spacing w:line="360" w:lineRule="auto"/>
        <w:jc w:val="center"/>
        <w:rPr>
          <w:rFonts w:ascii="黑体" w:eastAsia="黑体"/>
          <w:color w:val="000000" w:themeColor="text1"/>
          <w:szCs w:val="21"/>
          <w14:textFill>
            <w14:solidFill>
              <w14:schemeClr w14:val="tx1"/>
            </w14:solidFill>
          </w14:textFill>
        </w:rPr>
        <w:sectPr>
          <w:pgSz w:w="16838" w:h="11906" w:orient="landscape"/>
          <w:pgMar w:top="1134" w:right="1701" w:bottom="1814" w:left="1247" w:header="680" w:footer="1134" w:gutter="0"/>
          <w:cols w:space="720" w:num="1"/>
          <w:docGrid w:linePitch="312" w:charSpace="0"/>
        </w:sectPr>
      </w:pPr>
    </w:p>
    <w:p>
      <w:pPr>
        <w:pStyle w:val="4"/>
        <w:numPr>
          <w:ilvl w:val="0"/>
          <w:numId w:val="0"/>
        </w:numPr>
        <w:rPr>
          <w:rFonts w:ascii="黑体" w:hAnsi="黑体" w:eastAsia="黑体"/>
          <w:b/>
          <w:color w:val="000000" w:themeColor="text1"/>
          <w:sz w:val="21"/>
          <w:szCs w:val="21"/>
          <w14:textFill>
            <w14:solidFill>
              <w14:schemeClr w14:val="tx1"/>
            </w14:solidFill>
          </w14:textFill>
        </w:rPr>
      </w:pPr>
      <w:bookmarkStart w:id="230" w:name="_Toc22390026"/>
      <w:r>
        <w:rPr>
          <w:rFonts w:hint="eastAsia" w:ascii="黑体" w:hAnsi="黑体" w:eastAsia="黑体"/>
          <w:b/>
          <w:color w:val="000000" w:themeColor="text1"/>
          <w:sz w:val="21"/>
          <w:szCs w:val="21"/>
          <w14:textFill>
            <w14:solidFill>
              <w14:schemeClr w14:val="tx1"/>
            </w14:solidFill>
          </w14:textFill>
        </w:rPr>
        <w:t>11 LCC数据文件</w:t>
      </w:r>
      <w:bookmarkEnd w:id="225"/>
      <w:bookmarkEnd w:id="230"/>
    </w:p>
    <w:p>
      <w:pPr>
        <w:adjustRightInd w:val="0"/>
        <w:snapToGrid w:val="0"/>
        <w:spacing w:line="360" w:lineRule="auto"/>
        <w:ind w:firstLine="420" w:firstLineChars="200"/>
        <w:rPr>
          <w:color w:val="000000" w:themeColor="text1"/>
          <w14:textFill>
            <w14:solidFill>
              <w14:schemeClr w14:val="tx1"/>
            </w14:solidFill>
          </w14:textFill>
        </w:rPr>
      </w:pPr>
      <w:r>
        <w:rPr>
          <w:rFonts w:hint="eastAsia"/>
          <w:color w:val="000000" w:themeColor="text1"/>
          <w14:textFill>
            <w14:solidFill>
              <w14:schemeClr w14:val="tx1"/>
            </w14:solidFill>
          </w14:textFill>
        </w:rPr>
        <w:t>根据设备</w:t>
      </w:r>
      <w:r>
        <w:rPr>
          <w:color w:val="000000" w:themeColor="text1"/>
          <w14:textFill>
            <w14:solidFill>
              <w14:schemeClr w14:val="tx1"/>
            </w14:solidFill>
          </w14:textFill>
        </w:rPr>
        <w:t>全生命周期成本（LCC）</w:t>
      </w:r>
      <w:r>
        <w:rPr>
          <w:rFonts w:hint="eastAsia"/>
          <w:color w:val="000000" w:themeColor="text1"/>
          <w14:textFill>
            <w14:solidFill>
              <w14:schemeClr w14:val="tx1"/>
            </w14:solidFill>
          </w14:textFill>
        </w:rPr>
        <w:t>管理</w:t>
      </w:r>
      <w:r>
        <w:rPr>
          <w:color w:val="000000" w:themeColor="text1"/>
          <w14:textFill>
            <w14:solidFill>
              <w14:schemeClr w14:val="tx1"/>
            </w14:solidFill>
          </w14:textFill>
        </w:rPr>
        <w:t>要求</w:t>
      </w:r>
      <w:r>
        <w:rPr>
          <w:rFonts w:hint="eastAsia"/>
          <w:color w:val="000000" w:themeColor="text1"/>
          <w14:textFill>
            <w14:solidFill>
              <w14:schemeClr w14:val="tx1"/>
            </w14:solidFill>
          </w14:textFill>
        </w:rPr>
        <w:t>，供应商应如实填写</w:t>
      </w:r>
      <w:r>
        <w:rPr>
          <w:color w:val="000000" w:themeColor="text1"/>
          <w14:textFill>
            <w14:solidFill>
              <w14:schemeClr w14:val="tx1"/>
            </w14:solidFill>
          </w14:textFill>
        </w:rPr>
        <w:t>表</w:t>
      </w:r>
      <w:r>
        <w:rPr>
          <w:rFonts w:hint="eastAsia"/>
          <w:color w:val="000000" w:themeColor="text1"/>
          <w14:textFill>
            <w14:solidFill>
              <w14:schemeClr w14:val="tx1"/>
            </w14:solidFill>
          </w14:textFill>
        </w:rPr>
        <w:t>11.1：设备</w:t>
      </w:r>
      <w:r>
        <w:rPr>
          <w:color w:val="000000" w:themeColor="text1"/>
          <w14:textFill>
            <w14:solidFill>
              <w14:schemeClr w14:val="tx1"/>
            </w14:solidFill>
          </w14:textFill>
        </w:rPr>
        <w:t>投资成本费用表</w:t>
      </w:r>
      <w:r>
        <w:rPr>
          <w:rFonts w:hint="eastAsia"/>
          <w:color w:val="000000" w:themeColor="text1"/>
          <w14:textFill>
            <w14:solidFill>
              <w14:schemeClr w14:val="tx1"/>
            </w14:solidFill>
          </w14:textFill>
        </w:rPr>
        <w:t>。同时供应商还应</w:t>
      </w:r>
      <w:r>
        <w:rPr>
          <w:color w:val="000000" w:themeColor="text1"/>
          <w14:textFill>
            <w14:solidFill>
              <w14:schemeClr w14:val="tx1"/>
            </w14:solidFill>
          </w14:textFill>
        </w:rPr>
        <w:t>提供专用工具、备品备件、在线监测装置的详细清单。</w:t>
      </w:r>
    </w:p>
    <w:p>
      <w:pPr>
        <w:jc w:val="center"/>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14:textFill>
            <w14:solidFill>
              <w14:schemeClr w14:val="tx1"/>
            </w14:solidFill>
          </w14:textFill>
        </w:rPr>
        <w:t>11.1设备</w:t>
      </w:r>
      <w:r>
        <w:rPr>
          <w:color w:val="000000" w:themeColor="text1"/>
          <w14:textFill>
            <w14:solidFill>
              <w14:schemeClr w14:val="tx1"/>
            </w14:solidFill>
          </w14:textFill>
        </w:rPr>
        <w:t>投资成本费用表</w:t>
      </w:r>
      <w:r>
        <w:rPr>
          <w:rFonts w:hint="eastAsia"/>
          <w:color w:val="000000" w:themeColor="text1"/>
          <w14:textFill>
            <w14:solidFill>
              <w14:schemeClr w14:val="tx1"/>
            </w14:solidFill>
          </w14:textFill>
        </w:rPr>
        <w:t>（供应商填写）</w:t>
      </w:r>
    </w:p>
    <w:tbl>
      <w:tblPr>
        <w:tblStyle w:val="83"/>
        <w:tblW w:w="8409"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72"/>
        <w:gridCol w:w="1080"/>
        <w:gridCol w:w="531"/>
        <w:gridCol w:w="531"/>
        <w:gridCol w:w="1097"/>
        <w:gridCol w:w="898"/>
        <w:gridCol w:w="1260"/>
        <w:gridCol w:w="900"/>
        <w:gridCol w:w="900"/>
        <w:gridCol w:w="7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72"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序号</w:t>
            </w:r>
          </w:p>
        </w:tc>
        <w:tc>
          <w:tcPr>
            <w:tcW w:w="1080"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设备</w:t>
            </w:r>
            <w:r>
              <w:rPr>
                <w:color w:val="000000" w:themeColor="text1"/>
                <w:kern w:val="0"/>
                <w:szCs w:val="21"/>
                <w14:textFill>
                  <w14:solidFill>
                    <w14:schemeClr w14:val="tx1"/>
                  </w14:solidFill>
                </w14:textFill>
              </w:rPr>
              <w:t>型号</w:t>
            </w:r>
          </w:p>
        </w:tc>
        <w:tc>
          <w:tcPr>
            <w:tcW w:w="531"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数量</w:t>
            </w:r>
          </w:p>
        </w:tc>
        <w:tc>
          <w:tcPr>
            <w:tcW w:w="531"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单价</w:t>
            </w:r>
          </w:p>
        </w:tc>
        <w:tc>
          <w:tcPr>
            <w:tcW w:w="1097"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专用工具费</w:t>
            </w:r>
          </w:p>
        </w:tc>
        <w:tc>
          <w:tcPr>
            <w:tcW w:w="898"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备品备件费</w:t>
            </w:r>
          </w:p>
        </w:tc>
        <w:tc>
          <w:tcPr>
            <w:tcW w:w="1260"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在线监测装置费</w:t>
            </w:r>
          </w:p>
        </w:tc>
        <w:tc>
          <w:tcPr>
            <w:tcW w:w="900"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现场服务费</w:t>
            </w:r>
          </w:p>
        </w:tc>
        <w:tc>
          <w:tcPr>
            <w:tcW w:w="900"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供货方运输费</w:t>
            </w:r>
          </w:p>
        </w:tc>
        <w:tc>
          <w:tcPr>
            <w:tcW w:w="740" w:type="dxa"/>
            <w:vAlign w:val="center"/>
          </w:tcPr>
          <w:p>
            <w:pPr>
              <w:autoSpaceDE w:val="0"/>
              <w:autoSpaceDN w:val="0"/>
              <w:adjustRightInd w:val="0"/>
              <w:snapToGrid w:val="0"/>
              <w:spacing w:line="360" w:lineRule="auto"/>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合计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72"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08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531"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531"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097"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898"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26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90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90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74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72"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08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531"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531"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097"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898"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126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90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90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c>
          <w:tcPr>
            <w:tcW w:w="740" w:type="dxa"/>
            <w:vAlign w:val="center"/>
          </w:tcPr>
          <w:p>
            <w:pPr>
              <w:autoSpaceDE w:val="0"/>
              <w:autoSpaceDN w:val="0"/>
              <w:adjustRightInd w:val="0"/>
              <w:snapToGrid w:val="0"/>
              <w:spacing w:line="360" w:lineRule="auto"/>
              <w:jc w:val="center"/>
              <w:rPr>
                <w:color w:val="000000" w:themeColor="text1"/>
                <w:kern w:val="0"/>
                <w:szCs w:val="21"/>
                <w14:textFill>
                  <w14:solidFill>
                    <w14:schemeClr w14:val="tx1"/>
                  </w14:solidFill>
                </w14:textFill>
              </w:rPr>
            </w:pPr>
          </w:p>
        </w:tc>
      </w:tr>
    </w:tbl>
    <w:p>
      <w:pPr>
        <w:pStyle w:val="4"/>
        <w:numPr>
          <w:ilvl w:val="0"/>
          <w:numId w:val="0"/>
        </w:numPr>
        <w:rPr>
          <w:color w:val="000000" w:themeColor="text1"/>
          <w14:textFill>
            <w14:solidFill>
              <w14:schemeClr w14:val="tx1"/>
            </w14:solidFill>
          </w14:textFill>
        </w:rPr>
      </w:pPr>
    </w:p>
    <w:p>
      <w:pPr>
        <w:rPr>
          <w:color w:val="000000" w:themeColor="text1"/>
          <w14:textFill>
            <w14:solidFill>
              <w14:schemeClr w14:val="tx1"/>
            </w14:solidFill>
          </w14:textFill>
        </w:rPr>
        <w:sectPr>
          <w:headerReference r:id="rId13" w:type="default"/>
          <w:pgSz w:w="11907" w:h="16839"/>
          <w:pgMar w:top="1440" w:right="1701" w:bottom="1440" w:left="1701" w:header="964" w:footer="737" w:gutter="0"/>
          <w:cols w:space="720" w:num="1"/>
        </w:sectPr>
      </w:pPr>
    </w:p>
    <w:p>
      <w:pPr>
        <w:keepNext/>
        <w:keepLines/>
        <w:tabs>
          <w:tab w:val="left" w:pos="425"/>
        </w:tabs>
        <w:topLinePunct/>
        <w:spacing w:line="480" w:lineRule="auto"/>
        <w:textAlignment w:val="baseline"/>
        <w:outlineLvl w:val="0"/>
        <w:rPr>
          <w:rFonts w:hint="eastAsia" w:ascii="黑体" w:hAnsi="黑体" w:eastAsia="黑体"/>
          <w:b/>
          <w:color w:val="000000" w:themeColor="text1"/>
          <w:kern w:val="44"/>
          <w:szCs w:val="21"/>
          <w14:textFill>
            <w14:solidFill>
              <w14:schemeClr w14:val="tx1"/>
            </w14:solidFill>
          </w14:textFill>
        </w:rPr>
      </w:pPr>
      <w:bookmarkStart w:id="231" w:name="_Toc22212742"/>
      <w:bookmarkStart w:id="232" w:name="_Toc22390027"/>
      <w:r>
        <w:rPr>
          <w:rFonts w:hint="eastAsia" w:ascii="黑体" w:hAnsi="黑体" w:eastAsia="黑体"/>
          <w:b/>
          <w:color w:val="000000" w:themeColor="text1"/>
          <w:kern w:val="44"/>
          <w:szCs w:val="21"/>
          <w14:textFill>
            <w14:solidFill>
              <w14:schemeClr w14:val="tx1"/>
            </w14:solidFill>
          </w14:textFill>
        </w:rPr>
        <w:t>附录</w:t>
      </w:r>
      <w:r>
        <w:rPr>
          <w:rFonts w:ascii="黑体" w:hAnsi="黑体" w:eastAsia="黑体"/>
          <w:b/>
          <w:color w:val="000000" w:themeColor="text1"/>
          <w:kern w:val="44"/>
          <w:szCs w:val="21"/>
          <w14:textFill>
            <w14:solidFill>
              <w14:schemeClr w14:val="tx1"/>
            </w14:solidFill>
          </w14:textFill>
        </w:rPr>
        <w:t>：</w:t>
      </w:r>
      <w:bookmarkEnd w:id="231"/>
      <w:r>
        <w:rPr>
          <w:rFonts w:hint="eastAsia" w:ascii="黑体" w:hAnsi="黑体" w:eastAsia="黑体"/>
          <w:b/>
          <w:color w:val="000000" w:themeColor="text1"/>
          <w:kern w:val="44"/>
          <w:szCs w:val="21"/>
          <w14:textFill>
            <w14:solidFill>
              <w14:schemeClr w14:val="tx1"/>
            </w14:solidFill>
          </w14:textFill>
        </w:rPr>
        <w:t>110kV~500kV电容式电压互感器技术规范书审核表单</w:t>
      </w:r>
      <w:bookmarkEnd w:id="232"/>
    </w:p>
    <w:p>
      <w:pPr>
        <w:snapToGrid w:val="0"/>
        <w:spacing w:line="360" w:lineRule="auto"/>
        <w:rPr>
          <w:b/>
          <w:color w:val="000000" w:themeColor="text1"/>
          <w:sz w:val="22"/>
          <w:szCs w:val="28"/>
          <w14:textFill>
            <w14:solidFill>
              <w14:schemeClr w14:val="tx1"/>
            </w14:solidFill>
          </w14:textFill>
        </w:rPr>
      </w:pPr>
      <w:r>
        <w:rPr>
          <w:b/>
          <w:color w:val="000000" w:themeColor="text1"/>
          <w:sz w:val="22"/>
          <w:szCs w:val="28"/>
          <w14:textFill>
            <w14:solidFill>
              <w14:schemeClr w14:val="tx1"/>
            </w14:solidFill>
          </w14:textFill>
        </w:rPr>
        <w:t>填写说明：</w:t>
      </w:r>
    </w:p>
    <w:p>
      <w:pPr>
        <w:snapToGrid w:val="0"/>
        <w:spacing w:line="360" w:lineRule="auto"/>
        <w:ind w:firstLine="440" w:firstLineChars="200"/>
        <w:rPr>
          <w:color w:val="000000" w:themeColor="text1"/>
          <w:sz w:val="22"/>
          <w:szCs w:val="28"/>
          <w14:textFill>
            <w14:solidFill>
              <w14:schemeClr w14:val="tx1"/>
            </w14:solidFill>
          </w14:textFill>
        </w:rPr>
      </w:pPr>
      <w:r>
        <w:rPr>
          <w:color w:val="000000" w:themeColor="text1"/>
          <w:sz w:val="22"/>
          <w:szCs w:val="28"/>
          <w14:textFill>
            <w14:solidFill>
              <w14:schemeClr w14:val="tx1"/>
            </w14:solidFill>
          </w14:textFill>
        </w:rPr>
        <w:t>审核表单作为通用部分的附表，对未开展型号审查设备在评标时进行证明文件审查。</w:t>
      </w:r>
    </w:p>
    <w:p>
      <w:pPr>
        <w:snapToGrid w:val="0"/>
        <w:spacing w:line="360" w:lineRule="auto"/>
        <w:rPr>
          <w:color w:val="000000" w:themeColor="text1"/>
          <w:sz w:val="22"/>
          <w:szCs w:val="28"/>
          <w14:textFill>
            <w14:solidFill>
              <w14:schemeClr w14:val="tx1"/>
            </w14:solidFill>
          </w14:textFill>
        </w:rPr>
      </w:pPr>
      <w:r>
        <w:rPr>
          <w:color w:val="000000" w:themeColor="text1"/>
          <w:sz w:val="22"/>
          <w:szCs w:val="28"/>
          <w14:textFill>
            <w14:solidFill>
              <w14:schemeClr w14:val="tx1"/>
            </w14:solidFill>
          </w14:textFill>
        </w:rPr>
        <w:t>1、投标人响应部分基本填写要求如下：</w:t>
      </w:r>
    </w:p>
    <w:tbl>
      <w:tblPr>
        <w:tblStyle w:val="83"/>
        <w:tblW w:w="1394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40"/>
        <w:gridCol w:w="2756"/>
        <w:gridCol w:w="3799"/>
        <w:gridCol w:w="45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840"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投标人响应</w:t>
            </w:r>
          </w:p>
        </w:tc>
        <w:tc>
          <w:tcPr>
            <w:tcW w:w="2756"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投标人响应值</w:t>
            </w:r>
          </w:p>
        </w:tc>
        <w:tc>
          <w:tcPr>
            <w:tcW w:w="3799"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证明材料</w:t>
            </w:r>
          </w:p>
        </w:tc>
        <w:tc>
          <w:tcPr>
            <w:tcW w:w="4553"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投标人偏差说明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840"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“优于要求”</w:t>
            </w:r>
          </w:p>
        </w:tc>
        <w:tc>
          <w:tcPr>
            <w:tcW w:w="2756" w:type="dxa"/>
            <w:vMerge w:val="restart"/>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投标设备相应参数值</w:t>
            </w:r>
          </w:p>
        </w:tc>
        <w:tc>
          <w:tcPr>
            <w:tcW w:w="3799" w:type="dxa"/>
            <w:vMerge w:val="restart"/>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证明文件名称、编号、相关内容起止页码</w:t>
            </w:r>
          </w:p>
        </w:tc>
        <w:tc>
          <w:tcPr>
            <w:tcW w:w="4553"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投标人偏差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840"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“全部满足要求”</w:t>
            </w:r>
          </w:p>
        </w:tc>
        <w:tc>
          <w:tcPr>
            <w:tcW w:w="2756" w:type="dxa"/>
            <w:vMerge w:val="continue"/>
            <w:shd w:val="clear" w:color="auto" w:fill="auto"/>
            <w:vAlign w:val="center"/>
          </w:tcPr>
          <w:p>
            <w:pPr>
              <w:snapToGrid w:val="0"/>
              <w:spacing w:line="360" w:lineRule="auto"/>
              <w:jc w:val="left"/>
              <w:rPr>
                <w:color w:val="000000" w:themeColor="text1"/>
                <w:szCs w:val="21"/>
                <w14:textFill>
                  <w14:solidFill>
                    <w14:schemeClr w14:val="tx1"/>
                  </w14:solidFill>
                </w14:textFill>
              </w:rPr>
            </w:pPr>
          </w:p>
        </w:tc>
        <w:tc>
          <w:tcPr>
            <w:tcW w:w="3799" w:type="dxa"/>
            <w:vMerge w:val="continue"/>
            <w:shd w:val="clear" w:color="auto" w:fill="auto"/>
            <w:vAlign w:val="center"/>
          </w:tcPr>
          <w:p>
            <w:pPr>
              <w:snapToGrid w:val="0"/>
              <w:spacing w:line="360" w:lineRule="auto"/>
              <w:jc w:val="center"/>
              <w:rPr>
                <w:color w:val="000000" w:themeColor="text1"/>
                <w:szCs w:val="21"/>
                <w14:textFill>
                  <w14:solidFill>
                    <w14:schemeClr w14:val="tx1"/>
                  </w14:solidFill>
                </w14:textFill>
              </w:rPr>
            </w:pPr>
          </w:p>
        </w:tc>
        <w:tc>
          <w:tcPr>
            <w:tcW w:w="4553"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840"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“不满足要求”</w:t>
            </w:r>
          </w:p>
        </w:tc>
        <w:tc>
          <w:tcPr>
            <w:tcW w:w="2756" w:type="dxa"/>
            <w:vMerge w:val="continue"/>
            <w:shd w:val="clear" w:color="auto" w:fill="auto"/>
            <w:vAlign w:val="center"/>
          </w:tcPr>
          <w:p>
            <w:pPr>
              <w:snapToGrid w:val="0"/>
              <w:spacing w:line="360" w:lineRule="auto"/>
              <w:jc w:val="center"/>
              <w:rPr>
                <w:color w:val="000000" w:themeColor="text1"/>
                <w:szCs w:val="21"/>
                <w14:textFill>
                  <w14:solidFill>
                    <w14:schemeClr w14:val="tx1"/>
                  </w14:solidFill>
                </w14:textFill>
              </w:rPr>
            </w:pPr>
          </w:p>
        </w:tc>
        <w:tc>
          <w:tcPr>
            <w:tcW w:w="3799" w:type="dxa"/>
            <w:vMerge w:val="continue"/>
            <w:shd w:val="clear" w:color="auto" w:fill="auto"/>
            <w:vAlign w:val="center"/>
          </w:tcPr>
          <w:p>
            <w:pPr>
              <w:snapToGrid w:val="0"/>
              <w:spacing w:line="360" w:lineRule="auto"/>
              <w:jc w:val="center"/>
              <w:rPr>
                <w:color w:val="000000" w:themeColor="text1"/>
                <w:szCs w:val="21"/>
                <w14:textFill>
                  <w14:solidFill>
                    <w14:schemeClr w14:val="tx1"/>
                  </w14:solidFill>
                </w14:textFill>
              </w:rPr>
            </w:pPr>
          </w:p>
        </w:tc>
        <w:tc>
          <w:tcPr>
            <w:tcW w:w="4553"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投标人偏差及建议</w:t>
            </w:r>
          </w:p>
        </w:tc>
      </w:tr>
    </w:tbl>
    <w:p>
      <w:pPr>
        <w:snapToGrid w:val="0"/>
        <w:spacing w:line="360" w:lineRule="auto"/>
        <w:rPr>
          <w:b/>
          <w:color w:val="000000" w:themeColor="text1"/>
          <w:sz w:val="22"/>
          <w:szCs w:val="28"/>
          <w14:textFill>
            <w14:solidFill>
              <w14:schemeClr w14:val="tx1"/>
            </w14:solidFill>
          </w14:textFill>
        </w:rPr>
      </w:pPr>
      <w:r>
        <w:rPr>
          <w:b/>
          <w:color w:val="000000" w:themeColor="text1"/>
          <w:sz w:val="22"/>
          <w:szCs w:val="28"/>
          <w14:textFill>
            <w14:solidFill>
              <w14:schemeClr w14:val="tx1"/>
            </w14:solidFill>
          </w14:textFill>
        </w:rPr>
        <w:t>2、所有投标人提供的响应文件应有唯一编号，编号不少于5位，具体格式不限。</w:t>
      </w:r>
    </w:p>
    <w:p>
      <w:pPr>
        <w:snapToGrid w:val="0"/>
        <w:spacing w:line="360" w:lineRule="auto"/>
        <w:rPr>
          <w:b/>
          <w:color w:val="000000" w:themeColor="text1"/>
          <w:sz w:val="22"/>
          <w:szCs w:val="28"/>
          <w14:textFill>
            <w14:solidFill>
              <w14:schemeClr w14:val="tx1"/>
            </w14:solidFill>
          </w14:textFill>
        </w:rPr>
      </w:pPr>
      <w:r>
        <w:rPr>
          <w:color w:val="000000" w:themeColor="text1"/>
          <w:sz w:val="22"/>
          <w:szCs w:val="28"/>
          <w14:textFill>
            <w14:solidFill>
              <w14:schemeClr w14:val="tx1"/>
            </w14:solidFill>
          </w14:textFill>
        </w:rPr>
        <w:t>3、投标人在投标时应提供必要的条款响应支撑文件清单，</w:t>
      </w:r>
      <w:r>
        <w:rPr>
          <w:b/>
          <w:color w:val="000000" w:themeColor="text1"/>
          <w:sz w:val="22"/>
          <w:szCs w:val="28"/>
          <w14:textFill>
            <w14:solidFill>
              <w14:schemeClr w14:val="tx1"/>
            </w14:solidFill>
          </w14:textFill>
        </w:rPr>
        <w:t>投标时应对下面逐条要求进行响应，并说明响应内容所在的具体文件位置（包括文件名称、文件编号、文件起止页码）。同一条款要求可对应对个支撑文件，单一支撑文件也对不同条款要求进行响应。</w:t>
      </w:r>
    </w:p>
    <w:tbl>
      <w:tblPr>
        <w:tblStyle w:val="83"/>
        <w:tblW w:w="1394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36"/>
        <w:gridCol w:w="5738"/>
        <w:gridCol w:w="3487"/>
        <w:gridCol w:w="34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36"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序号</w:t>
            </w:r>
          </w:p>
        </w:tc>
        <w:tc>
          <w:tcPr>
            <w:tcW w:w="5738"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报告类型</w:t>
            </w:r>
          </w:p>
        </w:tc>
        <w:tc>
          <w:tcPr>
            <w:tcW w:w="3487"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文件名称</w:t>
            </w:r>
          </w:p>
        </w:tc>
        <w:tc>
          <w:tcPr>
            <w:tcW w:w="3487"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文件编号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36"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5738"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技术报告/试验报告/图纸/其他</w:t>
            </w:r>
          </w:p>
        </w:tc>
        <w:tc>
          <w:tcPr>
            <w:tcW w:w="3487"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p>
        </w:tc>
        <w:tc>
          <w:tcPr>
            <w:tcW w:w="3487" w:type="dxa"/>
            <w:shd w:val="clear" w:color="auto" w:fill="auto"/>
            <w:vAlign w:val="center"/>
          </w:tcPr>
          <w:p>
            <w:pPr>
              <w:snapToGrid w:val="0"/>
              <w:spacing w:line="360" w:lineRule="auto"/>
              <w:jc w:val="center"/>
              <w:rPr>
                <w:color w:val="000000" w:themeColor="text1"/>
                <w:szCs w:val="2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36" w:type="dxa"/>
            <w:shd w:val="clear" w:color="auto" w:fill="auto"/>
          </w:tcPr>
          <w:p>
            <w:pPr>
              <w:snapToGrid w:val="0"/>
              <w:spacing w:line="360" w:lineRule="auto"/>
              <w:rPr>
                <w:color w:val="000000" w:themeColor="text1"/>
                <w:szCs w:val="21"/>
                <w14:textFill>
                  <w14:solidFill>
                    <w14:schemeClr w14:val="tx1"/>
                  </w14:solidFill>
                </w14:textFill>
              </w:rPr>
            </w:pPr>
          </w:p>
        </w:tc>
        <w:tc>
          <w:tcPr>
            <w:tcW w:w="5738" w:type="dxa"/>
            <w:shd w:val="clear" w:color="auto" w:fill="auto"/>
          </w:tcPr>
          <w:p>
            <w:pPr>
              <w:snapToGrid w:val="0"/>
              <w:spacing w:line="360" w:lineRule="auto"/>
              <w:rPr>
                <w:color w:val="000000" w:themeColor="text1"/>
                <w:szCs w:val="21"/>
                <w14:textFill>
                  <w14:solidFill>
                    <w14:schemeClr w14:val="tx1"/>
                  </w14:solidFill>
                </w14:textFill>
              </w:rPr>
            </w:pPr>
          </w:p>
        </w:tc>
        <w:tc>
          <w:tcPr>
            <w:tcW w:w="3487" w:type="dxa"/>
            <w:shd w:val="clear" w:color="auto" w:fill="auto"/>
          </w:tcPr>
          <w:p>
            <w:pPr>
              <w:snapToGrid w:val="0"/>
              <w:spacing w:line="360" w:lineRule="auto"/>
              <w:rPr>
                <w:color w:val="000000" w:themeColor="text1"/>
                <w:szCs w:val="21"/>
                <w14:textFill>
                  <w14:solidFill>
                    <w14:schemeClr w14:val="tx1"/>
                  </w14:solidFill>
                </w14:textFill>
              </w:rPr>
            </w:pPr>
          </w:p>
        </w:tc>
        <w:tc>
          <w:tcPr>
            <w:tcW w:w="3487" w:type="dxa"/>
            <w:shd w:val="clear" w:color="auto" w:fill="auto"/>
          </w:tcPr>
          <w:p>
            <w:pPr>
              <w:snapToGrid w:val="0"/>
              <w:spacing w:line="360" w:lineRule="auto"/>
              <w:rPr>
                <w:color w:val="000000" w:themeColor="text1"/>
                <w:szCs w:val="21"/>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236" w:type="dxa"/>
            <w:shd w:val="clear" w:color="auto" w:fill="auto"/>
          </w:tcPr>
          <w:p>
            <w:pPr>
              <w:snapToGrid w:val="0"/>
              <w:spacing w:line="360" w:lineRule="auto"/>
              <w:rPr>
                <w:color w:val="000000" w:themeColor="text1"/>
                <w:szCs w:val="21"/>
                <w14:textFill>
                  <w14:solidFill>
                    <w14:schemeClr w14:val="tx1"/>
                  </w14:solidFill>
                </w14:textFill>
              </w:rPr>
            </w:pPr>
          </w:p>
        </w:tc>
        <w:tc>
          <w:tcPr>
            <w:tcW w:w="5738" w:type="dxa"/>
            <w:shd w:val="clear" w:color="auto" w:fill="auto"/>
          </w:tcPr>
          <w:p>
            <w:pPr>
              <w:snapToGrid w:val="0"/>
              <w:spacing w:line="360" w:lineRule="auto"/>
              <w:rPr>
                <w:color w:val="000000" w:themeColor="text1"/>
                <w:szCs w:val="21"/>
                <w14:textFill>
                  <w14:solidFill>
                    <w14:schemeClr w14:val="tx1"/>
                  </w14:solidFill>
                </w14:textFill>
              </w:rPr>
            </w:pPr>
          </w:p>
        </w:tc>
        <w:tc>
          <w:tcPr>
            <w:tcW w:w="3487" w:type="dxa"/>
            <w:shd w:val="clear" w:color="auto" w:fill="auto"/>
          </w:tcPr>
          <w:p>
            <w:pPr>
              <w:snapToGrid w:val="0"/>
              <w:spacing w:line="360" w:lineRule="auto"/>
              <w:rPr>
                <w:color w:val="000000" w:themeColor="text1"/>
                <w:szCs w:val="21"/>
                <w14:textFill>
                  <w14:solidFill>
                    <w14:schemeClr w14:val="tx1"/>
                  </w14:solidFill>
                </w14:textFill>
              </w:rPr>
            </w:pPr>
          </w:p>
        </w:tc>
        <w:tc>
          <w:tcPr>
            <w:tcW w:w="3487" w:type="dxa"/>
            <w:shd w:val="clear" w:color="auto" w:fill="auto"/>
          </w:tcPr>
          <w:p>
            <w:pPr>
              <w:snapToGrid w:val="0"/>
              <w:spacing w:line="360" w:lineRule="auto"/>
              <w:rPr>
                <w:color w:val="000000" w:themeColor="text1"/>
                <w:szCs w:val="21"/>
                <w14:textFill>
                  <w14:solidFill>
                    <w14:schemeClr w14:val="tx1"/>
                  </w14:solidFill>
                </w14:textFill>
              </w:rPr>
            </w:pPr>
          </w:p>
        </w:tc>
      </w:tr>
    </w:tbl>
    <w:p>
      <w:pPr>
        <w:snapToGrid w:val="0"/>
        <w:spacing w:line="360" w:lineRule="auto"/>
        <w:rPr>
          <w:color w:val="000000" w:themeColor="text1"/>
          <w:sz w:val="22"/>
          <w:szCs w:val="28"/>
          <w14:textFill>
            <w14:solidFill>
              <w14:schemeClr w14:val="tx1"/>
            </w14:solidFill>
          </w14:textFill>
        </w:rPr>
      </w:pPr>
    </w:p>
    <w:p>
      <w:pPr>
        <w:jc w:val="center"/>
        <w:rPr>
          <w:rFonts w:ascii="宋体" w:hAnsi="宋体"/>
          <w:color w:val="000000" w:themeColor="text1"/>
          <w:sz w:val="36"/>
          <w:szCs w:val="36"/>
          <w14:textFill>
            <w14:solidFill>
              <w14:schemeClr w14:val="tx1"/>
            </w14:solidFill>
          </w14:textFill>
        </w:rPr>
      </w:pPr>
    </w:p>
    <w:p>
      <w:pPr>
        <w:jc w:val="center"/>
        <w:rPr>
          <w:rFonts w:ascii="宋体" w:hAnsi="宋体"/>
          <w:color w:val="000000" w:themeColor="text1"/>
          <w:sz w:val="36"/>
          <w:szCs w:val="36"/>
          <w14:textFill>
            <w14:solidFill>
              <w14:schemeClr w14:val="tx1"/>
            </w14:solidFill>
          </w14:textFill>
        </w:rPr>
      </w:pPr>
    </w:p>
    <w:p>
      <w:pPr>
        <w:jc w:val="center"/>
        <w:rPr>
          <w:rFonts w:ascii="宋体" w:hAnsi="宋体"/>
          <w:color w:val="000000" w:themeColor="text1"/>
          <w:sz w:val="36"/>
          <w:szCs w:val="36"/>
          <w14:textFill>
            <w14:solidFill>
              <w14:schemeClr w14:val="tx1"/>
            </w14:solidFill>
          </w14:textFill>
        </w:rPr>
      </w:pPr>
    </w:p>
    <w:p>
      <w:pPr>
        <w:pBdr>
          <w:top w:val="none" w:color="auto" w:sz="0" w:space="1"/>
          <w:left w:val="none" w:color="auto" w:sz="0" w:space="4"/>
          <w:bottom w:val="none" w:color="auto" w:sz="0" w:space="1"/>
          <w:right w:val="none" w:color="auto" w:sz="0" w:space="4"/>
        </w:pBdr>
        <w:tabs>
          <w:tab w:val="center" w:pos="4153"/>
          <w:tab w:val="right" w:pos="8306"/>
        </w:tabs>
        <w:snapToGrid w:val="0"/>
        <w:jc w:val="center"/>
        <w:rPr>
          <w:color w:val="000000" w:themeColor="text1"/>
          <w:sz w:val="36"/>
          <w:szCs w:val="36"/>
          <w14:textFill>
            <w14:solidFill>
              <w14:schemeClr w14:val="tx1"/>
            </w14:solidFill>
          </w14:textFill>
        </w:rPr>
      </w:pPr>
      <w:r>
        <w:rPr>
          <w:rFonts w:hint="eastAsia"/>
          <w:color w:val="000000" w:themeColor="text1"/>
          <w:sz w:val="36"/>
          <w:szCs w:val="36"/>
          <w14:textFill>
            <w14:solidFill>
              <w14:schemeClr w14:val="tx1"/>
            </w14:solidFill>
          </w14:textFill>
        </w:rPr>
        <w:t>110kV~500kV电容式电压互感器技术规范书审核表单</w:t>
      </w:r>
    </w:p>
    <w:p>
      <w:pPr>
        <w:rPr>
          <w:color w:val="000000" w:themeColor="text1"/>
          <w14:textFill>
            <w14:solidFill>
              <w14:schemeClr w14:val="tx1"/>
            </w14:solidFill>
          </w14:textFill>
        </w:rPr>
      </w:pPr>
    </w:p>
    <w:tbl>
      <w:tblPr>
        <w:tblStyle w:val="313"/>
        <w:tblW w:w="141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5"/>
        <w:gridCol w:w="6234"/>
        <w:gridCol w:w="1203"/>
        <w:gridCol w:w="1560"/>
        <w:gridCol w:w="1490"/>
        <w:gridCol w:w="1559"/>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7069" w:type="dxa"/>
            <w:gridSpan w:val="2"/>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招标条款要求</w:t>
            </w:r>
          </w:p>
        </w:tc>
        <w:tc>
          <w:tcPr>
            <w:tcW w:w="5812" w:type="dxa"/>
            <w:gridSpan w:val="4"/>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投标人响应</w:t>
            </w:r>
          </w:p>
        </w:tc>
        <w:tc>
          <w:tcPr>
            <w:tcW w:w="1276" w:type="dxa"/>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评标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835"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条款</w:t>
            </w:r>
            <w:r>
              <w:rPr>
                <w:color w:val="000000" w:themeColor="text1"/>
                <w:sz w:val="18"/>
                <w:szCs w:val="18"/>
                <w14:textFill>
                  <w14:solidFill>
                    <w14:schemeClr w14:val="tx1"/>
                  </w14:solidFill>
                </w14:textFill>
              </w:rPr>
              <w:t>号</w:t>
            </w:r>
          </w:p>
        </w:tc>
        <w:tc>
          <w:tcPr>
            <w:tcW w:w="6234"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条款基本</w:t>
            </w:r>
            <w:r>
              <w:rPr>
                <w:color w:val="000000" w:themeColor="text1"/>
                <w:sz w:val="18"/>
                <w:szCs w:val="18"/>
                <w14:textFill>
                  <w14:solidFill>
                    <w14:schemeClr w14:val="tx1"/>
                  </w14:solidFill>
                </w14:textFill>
              </w:rPr>
              <w:t>内容</w:t>
            </w:r>
            <w:r>
              <w:rPr>
                <w:rFonts w:hint="eastAsia"/>
                <w:color w:val="000000" w:themeColor="text1"/>
                <w:sz w:val="18"/>
                <w:szCs w:val="18"/>
                <w14:textFill>
                  <w14:solidFill>
                    <w14:schemeClr w14:val="tx1"/>
                  </w14:solidFill>
                </w14:textFill>
              </w:rPr>
              <w:t>和</w:t>
            </w:r>
            <w:r>
              <w:rPr>
                <w:color w:val="000000" w:themeColor="text1"/>
                <w:sz w:val="18"/>
                <w:szCs w:val="18"/>
                <w14:textFill>
                  <w14:solidFill>
                    <w14:schemeClr w14:val="tx1"/>
                  </w14:solidFill>
                </w14:textFill>
              </w:rPr>
              <w:t>要求</w:t>
            </w:r>
          </w:p>
        </w:tc>
        <w:tc>
          <w:tcPr>
            <w:tcW w:w="1203"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投标人</w:t>
            </w:r>
            <w:r>
              <w:rPr>
                <w:color w:val="000000" w:themeColor="text1"/>
                <w:sz w:val="18"/>
                <w:szCs w:val="18"/>
                <w14:textFill>
                  <w14:solidFill>
                    <w14:schemeClr w14:val="tx1"/>
                  </w14:solidFill>
                </w14:textFill>
              </w:rPr>
              <w:t>响应</w:t>
            </w:r>
          </w:p>
        </w:tc>
        <w:tc>
          <w:tcPr>
            <w:tcW w:w="1560"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投标人</w:t>
            </w:r>
            <w:r>
              <w:rPr>
                <w:color w:val="000000" w:themeColor="text1"/>
                <w:sz w:val="18"/>
                <w:szCs w:val="18"/>
                <w14:textFill>
                  <w14:solidFill>
                    <w14:schemeClr w14:val="tx1"/>
                  </w14:solidFill>
                </w14:textFill>
              </w:rPr>
              <w:t>响应</w:t>
            </w:r>
            <w:r>
              <w:rPr>
                <w:rFonts w:hint="eastAsia"/>
                <w:color w:val="000000" w:themeColor="text1"/>
                <w:sz w:val="18"/>
                <w:szCs w:val="18"/>
                <w14:textFill>
                  <w14:solidFill>
                    <w14:schemeClr w14:val="tx1"/>
                  </w14:solidFill>
                </w14:textFill>
              </w:rPr>
              <w:t>值</w:t>
            </w:r>
          </w:p>
        </w:tc>
        <w:tc>
          <w:tcPr>
            <w:tcW w:w="1490"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证明</w:t>
            </w:r>
            <w:r>
              <w:rPr>
                <w:color w:val="000000" w:themeColor="text1"/>
                <w:sz w:val="18"/>
                <w:szCs w:val="18"/>
                <w14:textFill>
                  <w14:solidFill>
                    <w14:schemeClr w14:val="tx1"/>
                  </w14:solidFill>
                </w14:textFill>
              </w:rPr>
              <w:t>材料</w:t>
            </w:r>
          </w:p>
        </w:tc>
        <w:tc>
          <w:tcPr>
            <w:tcW w:w="1559"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投标人偏差</w:t>
            </w:r>
            <w:r>
              <w:rPr>
                <w:color w:val="000000" w:themeColor="text1"/>
                <w:sz w:val="18"/>
                <w:szCs w:val="18"/>
                <w14:textFill>
                  <w14:solidFill>
                    <w14:schemeClr w14:val="tx1"/>
                  </w14:solidFill>
                </w14:textFill>
              </w:rPr>
              <w:t>说明</w:t>
            </w:r>
          </w:p>
        </w:tc>
        <w:tc>
          <w:tcPr>
            <w:tcW w:w="1276" w:type="dxa"/>
            <w:vMerge w:val="restart"/>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评标</w:t>
            </w:r>
            <w:r>
              <w:rPr>
                <w:color w:val="000000" w:themeColor="text1"/>
                <w:sz w:val="18"/>
                <w:szCs w:val="18"/>
                <w14:textFill>
                  <w14:solidFill>
                    <w14:schemeClr w14:val="tx1"/>
                  </w14:solidFill>
                </w14:textFill>
              </w:rPr>
              <w:t>专家</w:t>
            </w:r>
          </w:p>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审核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blHeader/>
          <w:jc w:val="center"/>
        </w:trPr>
        <w:tc>
          <w:tcPr>
            <w:tcW w:w="835" w:type="dxa"/>
            <w:vMerge w:val="continue"/>
          </w:tcPr>
          <w:p>
            <w:pPr>
              <w:rPr>
                <w:color w:val="000000" w:themeColor="text1"/>
                <w:sz w:val="18"/>
                <w:szCs w:val="18"/>
                <w14:textFill>
                  <w14:solidFill>
                    <w14:schemeClr w14:val="tx1"/>
                  </w14:solidFill>
                </w14:textFill>
              </w:rPr>
            </w:pPr>
          </w:p>
        </w:tc>
        <w:tc>
          <w:tcPr>
            <w:tcW w:w="6234" w:type="dxa"/>
            <w:vMerge w:val="continue"/>
          </w:tcPr>
          <w:p>
            <w:pPr>
              <w:jc w:val="center"/>
              <w:rPr>
                <w:color w:val="000000" w:themeColor="text1"/>
                <w:sz w:val="18"/>
                <w:szCs w:val="18"/>
                <w14:textFill>
                  <w14:solidFill>
                    <w14:schemeClr w14:val="tx1"/>
                  </w14:solidFill>
                </w14:textFill>
              </w:rPr>
            </w:pPr>
          </w:p>
        </w:tc>
        <w:tc>
          <w:tcPr>
            <w:tcW w:w="1203" w:type="dxa"/>
            <w:vMerge w:val="continue"/>
          </w:tcPr>
          <w:p>
            <w:pPr>
              <w:jc w:val="center"/>
              <w:rPr>
                <w:color w:val="000000" w:themeColor="text1"/>
                <w:sz w:val="18"/>
                <w:szCs w:val="18"/>
                <w14:textFill>
                  <w14:solidFill>
                    <w14:schemeClr w14:val="tx1"/>
                  </w14:solidFill>
                </w14:textFill>
              </w:rPr>
            </w:pPr>
          </w:p>
        </w:tc>
        <w:tc>
          <w:tcPr>
            <w:tcW w:w="1560" w:type="dxa"/>
            <w:vMerge w:val="continue"/>
          </w:tcPr>
          <w:p>
            <w:pPr>
              <w:jc w:val="center"/>
              <w:rPr>
                <w:color w:val="000000" w:themeColor="text1"/>
                <w:sz w:val="18"/>
                <w:szCs w:val="18"/>
                <w14:textFill>
                  <w14:solidFill>
                    <w14:schemeClr w14:val="tx1"/>
                  </w14:solidFill>
                </w14:textFill>
              </w:rPr>
            </w:pPr>
          </w:p>
        </w:tc>
        <w:tc>
          <w:tcPr>
            <w:tcW w:w="1490" w:type="dxa"/>
            <w:vMerge w:val="continue"/>
          </w:tcPr>
          <w:p>
            <w:pPr>
              <w:jc w:val="center"/>
              <w:rPr>
                <w:color w:val="000000" w:themeColor="text1"/>
                <w:sz w:val="18"/>
                <w:szCs w:val="18"/>
                <w14:textFill>
                  <w14:solidFill>
                    <w14:schemeClr w14:val="tx1"/>
                  </w14:solidFill>
                </w14:textFill>
              </w:rPr>
            </w:pPr>
          </w:p>
        </w:tc>
        <w:tc>
          <w:tcPr>
            <w:tcW w:w="1559" w:type="dxa"/>
            <w:vMerge w:val="continue"/>
          </w:tcPr>
          <w:p>
            <w:pPr>
              <w:jc w:val="center"/>
              <w:rPr>
                <w:color w:val="000000" w:themeColor="text1"/>
                <w:sz w:val="18"/>
                <w:szCs w:val="18"/>
                <w14:textFill>
                  <w14:solidFill>
                    <w14:schemeClr w14:val="tx1"/>
                  </w14:solidFill>
                </w14:textFill>
              </w:rPr>
            </w:pPr>
          </w:p>
        </w:tc>
        <w:tc>
          <w:tcPr>
            <w:tcW w:w="1276" w:type="dxa"/>
            <w:vMerge w:val="continue"/>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5.1</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技术参数</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.1.1</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温升限值应满足专用条款要求。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温升限值数据</w:t>
            </w:r>
          </w:p>
        </w:tc>
        <w:tc>
          <w:tcPr>
            <w:tcW w:w="1490" w:type="dxa"/>
            <w:vAlign w:val="center"/>
          </w:tcPr>
          <w:p>
            <w:pPr>
              <w:jc w:val="center"/>
              <w:rPr>
                <w:color w:val="000000" w:themeColor="text1"/>
                <w:sz w:val="18"/>
                <w:szCs w:val="18"/>
                <w14:textFill>
                  <w14:solidFill>
                    <w14:schemeClr w14:val="tx1"/>
                  </w14:solidFill>
                </w14:textFill>
              </w:rPr>
            </w:pPr>
            <w:bookmarkStart w:id="233" w:name="OLE_LINK1"/>
            <w:r>
              <w:rPr>
                <w:rFonts w:hint="eastAsia"/>
                <w:color w:val="000000" w:themeColor="text1"/>
                <w:sz w:val="18"/>
                <w:szCs w:val="18"/>
                <w14:textFill>
                  <w14:solidFill>
                    <w14:schemeClr w14:val="tx1"/>
                  </w14:solidFill>
                </w14:textFill>
              </w:rPr>
              <w:t>报告名称、文件编号、文件</w:t>
            </w:r>
            <w:r>
              <w:rPr>
                <w:color w:val="000000" w:themeColor="text1"/>
                <w:sz w:val="18"/>
                <w:szCs w:val="18"/>
                <w14:textFill>
                  <w14:solidFill>
                    <w14:schemeClr w14:val="tx1"/>
                  </w14:solidFill>
                </w14:textFill>
              </w:rPr>
              <w:t>起止页码</w:t>
            </w:r>
            <w:bookmarkEnd w:id="233"/>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.1.2</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额定电压和输出容量</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线路型和母线型电容式电压互感器额定电压、二次输出容量应一致，具体参数详见专用条款。</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adjustRightInd w:val="0"/>
              <w:snapToGrid w:val="0"/>
              <w:spacing w:line="360" w:lineRule="auto"/>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输出容量</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报告名称、文件编号、文件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5.1.3</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额定电压因数</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额定电压因数及其在最高运行电压下的允许持续时间详见专用条款。</w:t>
            </w:r>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报告名称、文件编号、文件</w:t>
            </w:r>
            <w:r>
              <w:rPr>
                <w:color w:val="000000" w:themeColor="text1"/>
                <w:sz w:val="18"/>
                <w:szCs w:val="18"/>
                <w14:textFill>
                  <w14:solidFill>
                    <w14:schemeClr w14:val="tx1"/>
                  </w14:solidFill>
                </w14:textFill>
              </w:rPr>
              <w:t>起止页码</w:t>
            </w: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.1.4</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无线电干扰</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在1.1倍最高运行电压下试验，电容式电压互感器与电网连接的外部件表面在晴天的夜间不应有可见电晕，无线电干扰水平不大于500μV。</w:t>
            </w:r>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无线电干扰水平</w:t>
            </w:r>
          </w:p>
        </w:tc>
        <w:tc>
          <w:tcPr>
            <w:tcW w:w="149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文件名称、文件编号、文件</w:t>
            </w:r>
            <w:r>
              <w:rPr>
                <w:color w:val="000000" w:themeColor="text1"/>
                <w:sz w:val="18"/>
                <w:szCs w:val="18"/>
                <w14:textFill>
                  <w14:solidFill>
                    <w14:schemeClr w14:val="tx1"/>
                  </w14:solidFill>
                </w14:textFill>
              </w:rPr>
              <w:t>起止页码</w:t>
            </w: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.1.5</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短路承受能力</w:t>
            </w:r>
          </w:p>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电容式电压互感器在施加额定电压时，应能承受历时1s的二次绕组外部短路造成的机械、电和热的效应而无损伤。</w:t>
            </w:r>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耐受电流</w:t>
            </w:r>
          </w:p>
        </w:tc>
        <w:tc>
          <w:tcPr>
            <w:tcW w:w="149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文件名称、文件编号、文件</w:t>
            </w:r>
            <w:r>
              <w:rPr>
                <w:color w:val="000000" w:themeColor="text1"/>
                <w:sz w:val="18"/>
                <w:szCs w:val="18"/>
                <w14:textFill>
                  <w14:solidFill>
                    <w14:schemeClr w14:val="tx1"/>
                  </w14:solidFill>
                </w14:textFill>
              </w:rPr>
              <w:t>起止页码</w:t>
            </w: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w:t>
            </w:r>
          </w:p>
        </w:tc>
        <w:tc>
          <w:tcPr>
            <w:tcW w:w="6234" w:type="dxa"/>
            <w:vAlign w:val="center"/>
          </w:tcPr>
          <w:p>
            <w:pPr>
              <w:keepNext/>
              <w:keepLines/>
              <w:numPr>
                <w:ilvl w:val="0"/>
                <w:numId w:val="1"/>
              </w:numPr>
              <w:tabs>
                <w:tab w:val="left" w:pos="1276"/>
                <w:tab w:val="clear" w:pos="425"/>
              </w:tabs>
              <w:topLinePunct/>
              <w:adjustRightInd w:val="0"/>
              <w:snapToGrid w:val="0"/>
              <w:spacing w:line="360" w:lineRule="auto"/>
              <w:outlineLvl w:val="1"/>
              <w:rPr>
                <w:rFonts w:eastAsia="黑体"/>
                <w:bCs/>
                <w:color w:val="000000" w:themeColor="text1"/>
                <w:sz w:val="18"/>
                <w:szCs w:val="18"/>
                <w14:textFill>
                  <w14:solidFill>
                    <w14:schemeClr w14:val="tx1"/>
                  </w14:solidFill>
                </w14:textFill>
              </w:rPr>
            </w:pPr>
            <w:bookmarkStart w:id="234" w:name="_Toc22390028"/>
            <w:r>
              <w:rPr>
                <w:rFonts w:hint="eastAsia"/>
                <w:color w:val="000000" w:themeColor="text1"/>
                <w:sz w:val="18"/>
                <w:szCs w:val="18"/>
                <w14:textFill>
                  <w14:solidFill>
                    <w14:schemeClr w14:val="tx1"/>
                  </w14:solidFill>
                </w14:textFill>
              </w:rPr>
              <w:t>设计结构与原材料要求</w:t>
            </w:r>
            <w:bookmarkEnd w:id="234"/>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rPr>
                <w:color w:val="000000" w:themeColor="text1"/>
                <w:sz w:val="18"/>
                <w:szCs w:val="18"/>
                <w14:textFill>
                  <w14:solidFill>
                    <w14:schemeClr w14:val="tx1"/>
                  </w14:solidFill>
                </w14:textFill>
              </w:rPr>
            </w:pPr>
          </w:p>
        </w:tc>
        <w:tc>
          <w:tcPr>
            <w:tcW w:w="1490" w:type="dxa"/>
            <w:shd w:val="clear" w:color="auto" w:fill="auto"/>
            <w:vAlign w:val="center"/>
          </w:tcPr>
          <w:p>
            <w:pPr>
              <w:jc w:val="center"/>
              <w:rPr>
                <w:color w:val="000000" w:themeColor="text1"/>
                <w:sz w:val="18"/>
                <w:szCs w:val="18"/>
                <w14:textFill>
                  <w14:solidFill>
                    <w14:schemeClr w14:val="tx1"/>
                  </w14:solidFill>
                </w14:textFill>
              </w:rPr>
            </w:pP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5.2.1</w:t>
            </w:r>
          </w:p>
        </w:tc>
        <w:tc>
          <w:tcPr>
            <w:tcW w:w="6234" w:type="dxa"/>
            <w:vAlign w:val="center"/>
          </w:tcPr>
          <w:p>
            <w:pPr>
              <w:widowControl/>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多节电容器应标识安装顺序。</w:t>
            </w:r>
          </w:p>
          <w:p>
            <w:pPr>
              <w:widowControl/>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电容分压器应</w:t>
            </w:r>
            <w:r>
              <w:rPr>
                <w:rFonts w:ascii="宋体"/>
                <w:color w:val="000000" w:themeColor="text1"/>
                <w:kern w:val="0"/>
                <w:sz w:val="18"/>
                <w:szCs w:val="18"/>
                <w14:textFill>
                  <w14:solidFill>
                    <w14:schemeClr w14:val="tx1"/>
                  </w14:solidFill>
                </w14:textFill>
              </w:rPr>
              <w:t>提供足以补偿油随温度变化而膨胀的良好装置</w:t>
            </w:r>
            <w:r>
              <w:rPr>
                <w:rFonts w:hint="eastAsia" w:ascii="宋体"/>
                <w:color w:val="000000" w:themeColor="text1"/>
                <w:kern w:val="0"/>
                <w:sz w:val="18"/>
                <w:szCs w:val="18"/>
                <w14:textFill>
                  <w14:solidFill>
                    <w14:schemeClr w14:val="tx1"/>
                  </w14:solidFill>
                </w14:textFill>
              </w:rPr>
              <w:t>，在所采用温度类别规定的整个温度范围内密封良好，运行过程中内部始终保持微正压。</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高压和中压电容器</w:t>
            </w:r>
            <w:r>
              <w:rPr>
                <w:rFonts w:hint="eastAsia"/>
                <w:color w:val="000000" w:themeColor="text1"/>
                <w:sz w:val="18"/>
                <w:szCs w:val="18"/>
                <w14:textFill>
                  <w14:solidFill>
                    <w14:schemeClr w14:val="tx1"/>
                  </w14:solidFill>
                </w14:textFill>
              </w:rPr>
              <w:t>外绝缘应采用高强度瓷套（对抗震烈度有特殊要求的，经论证后外绝缘可采用硅橡胶复合外套）。瓷套的伞形、伞宽、伞距、弧闪距离，应符合GB/T 4109的要求，外绝缘须按照所处海拔高度及污秽等级进行相应修正。瓷套</w:t>
            </w:r>
            <w:r>
              <w:rPr>
                <w:color w:val="000000" w:themeColor="text1"/>
                <w:sz w:val="18"/>
                <w:szCs w:val="18"/>
                <w14:textFill>
                  <w14:solidFill>
                    <w14:schemeClr w14:val="tx1"/>
                  </w14:solidFill>
                </w14:textFill>
              </w:rPr>
              <w:t>应有良好的抗污秽能力和运行特性</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其有效爬电距离应考虑伞裙直径的影响。</w:t>
            </w:r>
            <w:r>
              <w:rPr>
                <w:rFonts w:hint="eastAsia"/>
                <w:color w:val="000000" w:themeColor="text1"/>
                <w:sz w:val="18"/>
                <w:szCs w:val="18"/>
                <w14:textFill>
                  <w14:solidFill>
                    <w14:schemeClr w14:val="tx1"/>
                  </w14:solidFill>
                </w14:textFill>
              </w:rPr>
              <w:t>500kV电压等级电容式电压互感器外瓷套伞裙需满足以下要求：</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a.</w:t>
            </w:r>
            <w:r>
              <w:rPr>
                <w:color w:val="000000" w:themeColor="text1"/>
                <w:sz w:val="18"/>
                <w:szCs w:val="18"/>
                <w14:textFill>
                  <w14:solidFill>
                    <w14:schemeClr w14:val="tx1"/>
                  </w14:solidFill>
                </w14:textFill>
              </w:rPr>
              <w:t>两裙伸出之差</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P</w:t>
            </w:r>
            <w:r>
              <w:rPr>
                <w:rFonts w:hint="eastAsia"/>
                <w:color w:val="000000" w:themeColor="text1"/>
                <w:sz w:val="18"/>
                <w:szCs w:val="18"/>
                <w14:textFill>
                  <w14:solidFill>
                    <w14:schemeClr w14:val="tx1"/>
                  </w14:solidFill>
                </w14:textFill>
              </w:rPr>
              <w:t>2</w:t>
            </w:r>
            <w:r>
              <w:rPr>
                <w:color w:val="000000" w:themeColor="text1"/>
                <w:sz w:val="18"/>
                <w:szCs w:val="18"/>
                <w14:textFill>
                  <w14:solidFill>
                    <w14:schemeClr w14:val="tx1"/>
                  </w14:solidFill>
                </w14:textFill>
              </w:rPr>
              <w:t>-P</w:t>
            </w:r>
            <w:r>
              <w:rPr>
                <w:rFonts w:hint="eastAsia"/>
                <w:color w:val="000000" w:themeColor="text1"/>
                <w:sz w:val="18"/>
                <w:szCs w:val="18"/>
                <w14:textFill>
                  <w14:solidFill>
                    <w14:schemeClr w14:val="tx1"/>
                  </w14:solidFill>
                </w14:textFill>
              </w:rPr>
              <w:t>1</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20</w:t>
            </w:r>
            <w:r>
              <w:rPr>
                <w:color w:val="000000" w:themeColor="text1"/>
                <w:sz w:val="18"/>
                <w:szCs w:val="18"/>
                <w14:textFill>
                  <w14:solidFill>
                    <w14:schemeClr w14:val="tx1"/>
                  </w14:solidFill>
                </w14:textFill>
              </w:rPr>
              <w:t xml:space="preserve"> mm</w:t>
            </w:r>
            <w:r>
              <w:rPr>
                <w:rFonts w:hint="eastAsia"/>
                <w:color w:val="000000" w:themeColor="text1"/>
                <w:sz w:val="18"/>
                <w:szCs w:val="18"/>
                <w14:textFill>
                  <w14:solidFill>
                    <w14:schemeClr w14:val="tx1"/>
                  </w14:solidFill>
                </w14:textFill>
              </w:rPr>
              <w:t>；</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b.</w:t>
            </w:r>
            <w:r>
              <w:rPr>
                <w:color w:val="000000" w:themeColor="text1"/>
                <w:sz w:val="18"/>
                <w:szCs w:val="18"/>
                <w14:textFill>
                  <w14:solidFill>
                    <w14:schemeClr w14:val="tx1"/>
                  </w14:solidFill>
                </w14:textFill>
              </w:rPr>
              <w:t>相邻裙间高（S）与裙伸出长度（P</w:t>
            </w:r>
            <w:r>
              <w:rPr>
                <w:rFonts w:hint="eastAsia"/>
                <w:color w:val="000000" w:themeColor="text1"/>
                <w:sz w:val="18"/>
                <w:szCs w:val="18"/>
                <w14:textFill>
                  <w14:solidFill>
                    <w14:schemeClr w14:val="tx1"/>
                  </w14:solidFill>
                </w14:textFill>
              </w:rPr>
              <w:t>2</w:t>
            </w:r>
            <w:r>
              <w:rPr>
                <w:color w:val="000000" w:themeColor="text1"/>
                <w:sz w:val="18"/>
                <w:szCs w:val="18"/>
                <w14:textFill>
                  <w14:solidFill>
                    <w14:schemeClr w14:val="tx1"/>
                  </w14:solidFill>
                </w14:textFill>
              </w:rPr>
              <w:t>）之比应大于0.9</w:t>
            </w:r>
            <w:r>
              <w:rPr>
                <w:rFonts w:hint="eastAsia"/>
                <w:color w:val="000000" w:themeColor="text1"/>
                <w:sz w:val="18"/>
                <w:szCs w:val="18"/>
                <w14:textFill>
                  <w14:solidFill>
                    <w14:schemeClr w14:val="tx1"/>
                  </w14:solidFill>
                </w14:textFill>
              </w:rPr>
              <w:t>；</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c.</w:t>
            </w:r>
            <w:r>
              <w:rPr>
                <w:color w:val="000000" w:themeColor="text1"/>
                <w:sz w:val="18"/>
                <w:szCs w:val="18"/>
                <w14:textFill>
                  <w14:solidFill>
                    <w14:schemeClr w14:val="tx1"/>
                  </w14:solidFill>
                </w14:textFill>
              </w:rPr>
              <w:t>相邻裙间高（S）≥</w:t>
            </w:r>
            <w:r>
              <w:rPr>
                <w:rFonts w:hint="eastAsia"/>
                <w:color w:val="000000" w:themeColor="text1"/>
                <w:sz w:val="18"/>
                <w:szCs w:val="18"/>
                <w14:textFill>
                  <w14:solidFill>
                    <w14:schemeClr w14:val="tx1"/>
                  </w14:solidFill>
                </w14:textFill>
              </w:rPr>
              <w:t>70</w:t>
            </w:r>
            <w:r>
              <w:rPr>
                <w:color w:val="000000" w:themeColor="text1"/>
                <w:sz w:val="18"/>
                <w:szCs w:val="18"/>
                <w14:textFill>
                  <w14:solidFill>
                    <w14:schemeClr w14:val="tx1"/>
                  </w14:solidFill>
                </w14:textFill>
              </w:rPr>
              <w:t xml:space="preserve"> mm</w:t>
            </w:r>
            <w:r>
              <w:rPr>
                <w:rFonts w:hint="eastAsia"/>
                <w:color w:val="000000" w:themeColor="text1"/>
                <w:sz w:val="18"/>
                <w:szCs w:val="18"/>
                <w14:textFill>
                  <w14:solidFill>
                    <w14:schemeClr w14:val="tx1"/>
                  </w14:solidFill>
                </w14:textFill>
              </w:rPr>
              <w:t>。</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套管法兰结合处应采用螺栓连接，并配有合适的法兰和密封圈。所有密封圈应为闭合成型件，应采用</w:t>
            </w:r>
            <w:r>
              <w:rPr>
                <w:color w:val="000000" w:themeColor="text1"/>
                <w:sz w:val="18"/>
                <w:szCs w:val="18"/>
                <w14:textFill>
                  <w14:solidFill>
                    <w14:schemeClr w14:val="tx1"/>
                  </w14:solidFill>
                </w14:textFill>
              </w:rPr>
              <w:t>有</w:t>
            </w:r>
            <w:r>
              <w:rPr>
                <w:rFonts w:hint="eastAsia"/>
                <w:color w:val="000000" w:themeColor="text1"/>
                <w:sz w:val="18"/>
                <w:szCs w:val="18"/>
                <w14:textFill>
                  <w14:solidFill>
                    <w14:schemeClr w14:val="tx1"/>
                  </w14:solidFill>
                </w14:textFill>
              </w:rPr>
              <w:t>压缩</w:t>
            </w:r>
            <w:r>
              <w:rPr>
                <w:color w:val="000000" w:themeColor="text1"/>
                <w:sz w:val="18"/>
                <w:szCs w:val="18"/>
                <w14:textFill>
                  <w14:solidFill>
                    <w14:schemeClr w14:val="tx1"/>
                  </w14:solidFill>
                </w14:textFill>
              </w:rPr>
              <w:t>限位</w:t>
            </w:r>
            <w:r>
              <w:rPr>
                <w:rFonts w:hint="eastAsia"/>
                <w:color w:val="000000" w:themeColor="text1"/>
                <w:sz w:val="18"/>
                <w:szCs w:val="18"/>
                <w14:textFill>
                  <w14:solidFill>
                    <w14:schemeClr w14:val="tx1"/>
                  </w14:solidFill>
                </w14:textFill>
              </w:rPr>
              <w:t>的密封结构，禁止使用U型圈密封结构。选用的密封圈应耐老化，满足与电容器油相容性的要求。在质保期内，若出现渗漏油，应由供应商负责更换全新产品。在质保期外若出现渗漏油，供应商应免费提供密封件及技术支持。</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电容分压器中间法兰应设置专用结构，方便现场试验挂线。</w:t>
            </w:r>
          </w:p>
          <w:p>
            <w:pPr>
              <w:rPr>
                <w:color w:val="000000" w:themeColor="text1"/>
                <w:sz w:val="18"/>
                <w:szCs w:val="18"/>
                <w14:textFill>
                  <w14:solidFill>
                    <w14:schemeClr w14:val="tx1"/>
                  </w14:solidFill>
                </w14:textFill>
              </w:rPr>
            </w:pPr>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（安装标示、微正压保证措施、瓷外套结构图、密封结构、试验挂线专用结构）</w:t>
            </w:r>
          </w:p>
        </w:tc>
        <w:tc>
          <w:tcPr>
            <w:tcW w:w="1490" w:type="dxa"/>
            <w:shd w:val="clear" w:color="auto" w:fill="auto"/>
            <w:vAlign w:val="center"/>
          </w:tcPr>
          <w:p>
            <w:pPr>
              <w:jc w:val="center"/>
              <w:rPr>
                <w:color w:val="000000" w:themeColor="text1"/>
                <w:sz w:val="18"/>
                <w:szCs w:val="18"/>
                <w14:textFill>
                  <w14:solidFill>
                    <w14:schemeClr w14:val="tx1"/>
                  </w14:solidFill>
                </w14:textFill>
              </w:rPr>
            </w:pPr>
          </w:p>
          <w:p>
            <w:pPr>
              <w:jc w:val="center"/>
              <w:rPr>
                <w:color w:val="000000" w:themeColor="text1"/>
                <w:sz w:val="18"/>
                <w:szCs w:val="18"/>
                <w14:textFill>
                  <w14:solidFill>
                    <w14:schemeClr w14:val="tx1"/>
                  </w14:solidFill>
                </w14:textFill>
              </w:rPr>
            </w:pPr>
          </w:p>
          <w:p>
            <w:pPr>
              <w:jc w:val="center"/>
              <w:rPr>
                <w:color w:val="000000" w:themeColor="text1"/>
                <w:sz w:val="18"/>
                <w:szCs w:val="18"/>
                <w14:textFill>
                  <w14:solidFill>
                    <w14:schemeClr w14:val="tx1"/>
                  </w14:solidFill>
                </w14:textFill>
              </w:rPr>
            </w:pPr>
          </w:p>
          <w:p>
            <w:pPr>
              <w:jc w:val="center"/>
              <w:rPr>
                <w:color w:val="000000" w:themeColor="text1"/>
                <w:sz w:val="18"/>
                <w:szCs w:val="18"/>
                <w14:textFill>
                  <w14:solidFill>
                    <w14:schemeClr w14:val="tx1"/>
                  </w14:solidFill>
                </w14:textFill>
              </w:rPr>
            </w:pPr>
          </w:p>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5.2.2</w:t>
            </w:r>
          </w:p>
        </w:tc>
        <w:tc>
          <w:tcPr>
            <w:tcW w:w="6234" w:type="dxa"/>
            <w:vAlign w:val="center"/>
          </w:tcPr>
          <w:p>
            <w:pPr>
              <w:widowControl/>
              <w:spacing w:line="360" w:lineRule="auto"/>
              <w:rPr>
                <w:rFonts w:ascii="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电磁单元</w:t>
            </w:r>
          </w:p>
        </w:tc>
        <w:tc>
          <w:tcPr>
            <w:tcW w:w="1203" w:type="dxa"/>
            <w:shd w:val="clear" w:color="auto" w:fill="auto"/>
            <w:vAlign w:val="center"/>
          </w:tcPr>
          <w:p>
            <w:pPr>
              <w:jc w:val="center"/>
              <w:rPr>
                <w:color w:val="000000" w:themeColor="text1"/>
                <w:sz w:val="18"/>
                <w:szCs w:val="18"/>
                <w14:textFill>
                  <w14:solidFill>
                    <w14:schemeClr w14:val="tx1"/>
                  </w14:solidFill>
                </w14:textFill>
              </w:rPr>
            </w:pPr>
          </w:p>
        </w:tc>
        <w:tc>
          <w:tcPr>
            <w:tcW w:w="1560" w:type="dxa"/>
            <w:shd w:val="clear" w:color="auto" w:fill="auto"/>
            <w:vAlign w:val="center"/>
          </w:tcPr>
          <w:p>
            <w:pPr>
              <w:jc w:val="center"/>
              <w:rPr>
                <w:color w:val="000000" w:themeColor="text1"/>
                <w:sz w:val="18"/>
                <w:szCs w:val="18"/>
                <w14:textFill>
                  <w14:solidFill>
                    <w14:schemeClr w14:val="tx1"/>
                  </w14:solidFill>
                </w14:textFill>
              </w:rPr>
            </w:pPr>
          </w:p>
        </w:tc>
        <w:tc>
          <w:tcPr>
            <w:tcW w:w="1490" w:type="dxa"/>
            <w:shd w:val="clear" w:color="auto" w:fill="auto"/>
            <w:vAlign w:val="center"/>
          </w:tcPr>
          <w:p>
            <w:pPr>
              <w:jc w:val="center"/>
              <w:rPr>
                <w:color w:val="000000" w:themeColor="text1"/>
                <w:sz w:val="18"/>
                <w:szCs w:val="18"/>
                <w14:textFill>
                  <w14:solidFill>
                    <w14:schemeClr w14:val="tx1"/>
                  </w14:solidFill>
                </w14:textFill>
              </w:rPr>
            </w:pPr>
          </w:p>
        </w:tc>
        <w:tc>
          <w:tcPr>
            <w:tcW w:w="1559" w:type="dxa"/>
            <w:shd w:val="clear" w:color="auto" w:fill="auto"/>
            <w:vAlign w:val="center"/>
          </w:tcPr>
          <w:p>
            <w:pPr>
              <w:jc w:val="center"/>
              <w:rPr>
                <w:color w:val="000000" w:themeColor="text1"/>
                <w:sz w:val="18"/>
                <w:szCs w:val="18"/>
                <w14:textFill>
                  <w14:solidFill>
                    <w14:schemeClr w14:val="tx1"/>
                  </w14:solidFill>
                </w14:textFill>
              </w:rPr>
            </w:pPr>
          </w:p>
        </w:tc>
        <w:tc>
          <w:tcPr>
            <w:tcW w:w="1276" w:type="dxa"/>
            <w:shd w:val="clear" w:color="auto" w:fill="auto"/>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rPr>
                <w:color w:val="000000" w:themeColor="text1"/>
                <w:sz w:val="18"/>
                <w:szCs w:val="18"/>
                <w14:textFill>
                  <w14:solidFill>
                    <w14:schemeClr w14:val="tx1"/>
                  </w14:solidFill>
                </w14:textFill>
              </w:rPr>
            </w:pPr>
            <w:r>
              <w:rPr>
                <w:rFonts w:eastAsia="黑体"/>
                <w:color w:val="000000" w:themeColor="text1"/>
                <w:sz w:val="18"/>
                <w:szCs w:val="18"/>
                <w14:textFill>
                  <w14:solidFill>
                    <w14:schemeClr w14:val="tx1"/>
                  </w14:solidFill>
                </w14:textFill>
              </w:rPr>
              <w:t>5.2.2.1</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油浸式电磁元件</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电磁元件必须装在铝合金或钢板制成的油箱内。油箱内充以满足</w:t>
            </w:r>
            <w:r>
              <w:rPr>
                <w:rFonts w:ascii="宋体" w:hAnsi="宋体" w:cs="宋体"/>
                <w:color w:val="000000" w:themeColor="text1"/>
                <w:sz w:val="18"/>
                <w:szCs w:val="18"/>
                <w14:textFill>
                  <w14:solidFill>
                    <w14:schemeClr w14:val="tx1"/>
                  </w14:solidFill>
                </w14:textFill>
              </w:rPr>
              <w:t>GB/T2536要求的绝缘油，绝缘油的性能指标要求详见技术规范书专用部分。</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油箱应具有良好的密封性能，运行中不允许有渗漏现象发生。在质保期内，若出现渗漏油，应由供应商负责处理。在质保期外若出现渗漏油，供应商应免费提供密封件及技术支持。所有密封圈应为闭合成型件。应采用有压缩限位的密封结构。所选用的密封圈应耐老化，满足与绝缘油相容性的要求，并应按照GB /T7759进行热空气压缩永久变形试验和按照GB /T7762进行耐臭氧龟裂静态拉伸试验。</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油箱应安装有易于观察的油位指示器或观察窗。</w:t>
            </w:r>
            <w:r>
              <w:rPr>
                <w:rFonts w:hint="eastAsia" w:ascii="宋体" w:hAnsi="宋体" w:cs="宋体"/>
                <w:color w:val="000000" w:themeColor="text1"/>
                <w:kern w:val="0"/>
                <w:sz w:val="18"/>
                <w:szCs w:val="18"/>
                <w14:textFill>
                  <w14:solidFill>
                    <w14:schemeClr w14:val="tx1"/>
                  </w14:solidFill>
                </w14:textFill>
              </w:rPr>
              <w:t>油位计应指示正确，观察窗应便于清晰观察。</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取油阀密封结构应优化设计，避免现场取油扭动罩帽时，阀体与罩帽一起转动损伤密封垫圈和因松动而漏油。</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电磁元件必须与电容电压分压器完全隔离，所有互感器外露铁件必须热镀锌。</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电容式电压互感器的中间变压器高压侧不应装设交流无间隙金属氧化物避雷器。</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中间变压器的绕组匝电势应小于</w:t>
            </w:r>
            <w:r>
              <w:rPr>
                <w:rFonts w:ascii="宋体" w:hAnsi="宋体" w:cs="宋体"/>
                <w:color w:val="000000" w:themeColor="text1"/>
                <w:kern w:val="0"/>
                <w:sz w:val="18"/>
                <w:szCs w:val="18"/>
                <w14:textFill>
                  <w14:solidFill>
                    <w14:schemeClr w14:val="tx1"/>
                  </w14:solidFill>
                </w14:textFill>
              </w:rPr>
              <w:t>1.2V，满足长期使用要求。</w:t>
            </w:r>
          </w:p>
          <w:p>
            <w:pPr>
              <w:adjustRightInd w:val="0"/>
              <w:snapToGrid w:val="0"/>
              <w:spacing w:line="360" w:lineRule="auto"/>
              <w:rPr>
                <w:rFonts w:ascii="宋体" w:hAnsi="宋体" w:cs="宋体"/>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相应要求的满足情况（密封结构与材料、）</w:t>
            </w:r>
          </w:p>
        </w:tc>
        <w:tc>
          <w:tcPr>
            <w:tcW w:w="1490" w:type="dxa"/>
            <w:vAlign w:val="center"/>
          </w:tcPr>
          <w:p>
            <w:pPr>
              <w:jc w:val="center"/>
              <w:rPr>
                <w:color w:val="000000" w:themeColor="text1"/>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rFonts w:eastAsia="黑体"/>
                <w:color w:val="000000" w:themeColor="text1"/>
                <w:sz w:val="18"/>
                <w:szCs w:val="18"/>
                <w14:textFill>
                  <w14:solidFill>
                    <w14:schemeClr w14:val="tx1"/>
                  </w14:solidFill>
                </w14:textFill>
              </w:rPr>
            </w:pPr>
            <w:r>
              <w:rPr>
                <w:rFonts w:eastAsia="黑体"/>
                <w:color w:val="000000" w:themeColor="text1"/>
                <w:sz w:val="18"/>
                <w:szCs w:val="18"/>
                <w14:textFill>
                  <w14:solidFill>
                    <w14:schemeClr w14:val="tx1"/>
                  </w14:solidFill>
                </w14:textFill>
              </w:rPr>
              <w:t>5.2.2.</w:t>
            </w:r>
            <w:r>
              <w:rPr>
                <w:rFonts w:hint="eastAsia" w:eastAsia="黑体"/>
                <w:color w:val="000000" w:themeColor="text1"/>
                <w:sz w:val="18"/>
                <w:szCs w:val="18"/>
                <w14:textFill>
                  <w14:solidFill>
                    <w14:schemeClr w14:val="tx1"/>
                  </w14:solidFill>
                </w14:textFill>
              </w:rPr>
              <w:t>2</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阻尼器</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电容式电压互感器应具备用于抑制铁磁谐振的阻尼器，110kV及以上电压等级应采用速饱和电感型阻尼器，不应选用谐振型和电阻型。阻尼器应提供外接端子，方便现场试验。</w:t>
            </w:r>
          </w:p>
          <w:p>
            <w:pPr>
              <w:adjustRightInd w:val="0"/>
              <w:snapToGrid w:val="0"/>
              <w:spacing w:line="360" w:lineRule="auto"/>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adjustRightInd w:val="0"/>
              <w:snapToGrid w:val="0"/>
              <w:spacing w:line="360" w:lineRule="auto"/>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相应要求的满足情况（阻尼器选型）</w:t>
            </w:r>
          </w:p>
        </w:tc>
        <w:tc>
          <w:tcPr>
            <w:tcW w:w="1490" w:type="dxa"/>
            <w:vAlign w:val="center"/>
          </w:tcPr>
          <w:p>
            <w:pPr>
              <w:jc w:val="center"/>
              <w:rPr>
                <w:color w:val="000000" w:themeColor="text1"/>
                <w14:textFill>
                  <w14:solidFill>
                    <w14:schemeClr w14:val="tx1"/>
                  </w14:solidFill>
                </w14:textFill>
              </w:rPr>
            </w:pPr>
            <w:r>
              <w:rPr>
                <w:rFonts w:hint="eastAsia"/>
                <w:color w:val="000000" w:themeColor="text1"/>
                <w:sz w:val="18"/>
                <w:szCs w:val="18"/>
                <w14:textFill>
                  <w14:solidFill>
                    <w14:schemeClr w14:val="tx1"/>
                  </w14:solidFill>
                </w14:textFill>
              </w:rPr>
              <w:t>文件名称、文件编号、文件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rFonts w:ascii="宋体" w:hAnsi="宋体" w:cs="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5.2.2.3</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补偿电抗器</w:t>
            </w:r>
          </w:p>
          <w:p>
            <w:pPr>
              <w:widowControl/>
              <w:spacing w:line="360" w:lineRule="auto"/>
              <w:ind w:firstLine="171" w:firstLineChars="95"/>
              <w:rPr>
                <w:rFonts w:ascii="宋体" w:hAnsi="宋体" w:cs="宋体"/>
                <w:color w:val="000000" w:themeColor="text1"/>
                <w:kern w:val="0"/>
                <w:sz w:val="18"/>
                <w:szCs w:val="18"/>
                <w14:textFill>
                  <w14:solidFill>
                    <w14:schemeClr w14:val="tx1"/>
                  </w14:solidFill>
                </w14:textFill>
              </w:rPr>
            </w:pPr>
            <w:r>
              <w:rPr>
                <w:rFonts w:ascii="宋体" w:hAnsi="宋体" w:cs="宋体"/>
                <w:color w:val="000000" w:themeColor="text1"/>
                <w:kern w:val="0"/>
                <w:sz w:val="18"/>
                <w:szCs w:val="18"/>
                <w14:textFill>
                  <w14:solidFill>
                    <w14:schemeClr w14:val="tx1"/>
                  </w14:solidFill>
                </w14:textFill>
              </w:rPr>
              <w:t xml:space="preserve">    补偿电抗器宜采用抽头调感式、固定气隙结构。</w:t>
            </w:r>
          </w:p>
          <w:p>
            <w:pPr>
              <w:widowControl/>
              <w:spacing w:line="360" w:lineRule="auto"/>
              <w:ind w:firstLine="171" w:firstLineChars="95"/>
              <w:rPr>
                <w:rFonts w:ascii="宋体" w:hAnsi="宋体" w:cs="宋体"/>
                <w:color w:val="000000" w:themeColor="text1"/>
                <w:kern w:val="0"/>
                <w:sz w:val="18"/>
                <w:szCs w:val="18"/>
                <w14:textFill>
                  <w14:solidFill>
                    <w14:schemeClr w14:val="tx1"/>
                  </w14:solidFill>
                </w14:textFill>
              </w:rPr>
            </w:pPr>
            <w:r>
              <w:rPr>
                <w:rFonts w:ascii="宋体" w:hAnsi="宋体" w:cs="宋体"/>
                <w:color w:val="000000" w:themeColor="text1"/>
                <w:kern w:val="0"/>
                <w:sz w:val="18"/>
                <w:szCs w:val="18"/>
                <w14:textFill>
                  <w14:solidFill>
                    <w14:schemeClr w14:val="tx1"/>
                  </w14:solidFill>
                </w14:textFill>
              </w:rPr>
              <w:t xml:space="preserve">    补偿电抗器并联保护器件宜采用交流无间隙金属氧化物避雷器。</w:t>
            </w:r>
          </w:p>
        </w:tc>
        <w:tc>
          <w:tcPr>
            <w:tcW w:w="1203" w:type="dxa"/>
            <w:vAlign w:val="center"/>
          </w:tcPr>
          <w:p>
            <w:pPr>
              <w:jc w:val="center"/>
              <w:rPr>
                <w:rFonts w:ascii="宋体" w:hAnsi="宋体" w:cs="宋体"/>
                <w:color w:val="000000" w:themeColor="text1"/>
                <w:sz w:val="18"/>
                <w:szCs w:val="18"/>
                <w14:textFill>
                  <w14:solidFill>
                    <w14:schemeClr w14:val="tx1"/>
                  </w14:solidFill>
                </w14:textFill>
              </w:rPr>
            </w:pPr>
          </w:p>
        </w:tc>
        <w:tc>
          <w:tcPr>
            <w:tcW w:w="1560" w:type="dxa"/>
            <w:vAlign w:val="center"/>
          </w:tcPr>
          <w:p>
            <w:pPr>
              <w:adjustRightInd w:val="0"/>
              <w:snapToGrid w:val="0"/>
              <w:spacing w:line="360" w:lineRule="auto"/>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相应要求的满足情况（补充电抗器选型）</w:t>
            </w:r>
          </w:p>
        </w:tc>
        <w:tc>
          <w:tcPr>
            <w:tcW w:w="1490"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文件名称、文件编号、文件起止页码</w:t>
            </w:r>
          </w:p>
        </w:tc>
        <w:tc>
          <w:tcPr>
            <w:tcW w:w="1559" w:type="dxa"/>
            <w:vAlign w:val="center"/>
          </w:tcPr>
          <w:p>
            <w:pPr>
              <w:jc w:val="center"/>
              <w:rPr>
                <w:rFonts w:ascii="宋体" w:hAnsi="宋体" w:cs="宋体"/>
                <w:color w:val="000000" w:themeColor="text1"/>
                <w:sz w:val="18"/>
                <w:szCs w:val="18"/>
                <w14:textFill>
                  <w14:solidFill>
                    <w14:schemeClr w14:val="tx1"/>
                  </w14:solidFill>
                </w14:textFill>
              </w:rPr>
            </w:pPr>
          </w:p>
        </w:tc>
        <w:tc>
          <w:tcPr>
            <w:tcW w:w="1276" w:type="dxa"/>
            <w:vAlign w:val="center"/>
          </w:tcPr>
          <w:p>
            <w:pPr>
              <w:jc w:val="center"/>
              <w:rPr>
                <w:rFonts w:ascii="宋体" w:hAnsi="宋体" w:cs="宋体"/>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3</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黑体" w:hAnsi="宋体" w:eastAsia="黑体"/>
                <w:color w:val="000000" w:themeColor="text1"/>
                <w:kern w:val="0"/>
                <w:sz w:val="18"/>
                <w:szCs w:val="18"/>
                <w14:textFill>
                  <w14:solidFill>
                    <w14:schemeClr w14:val="tx1"/>
                  </w14:solidFill>
                </w14:textFill>
              </w:rPr>
              <w:t xml:space="preserve"> </w:t>
            </w:r>
            <w:r>
              <w:rPr>
                <w:rFonts w:hint="eastAsia" w:ascii="宋体" w:hAnsi="宋体" w:cs="宋体"/>
                <w:color w:val="000000" w:themeColor="text1"/>
                <w:kern w:val="0"/>
                <w:sz w:val="18"/>
                <w:szCs w:val="18"/>
                <w14:textFill>
                  <w14:solidFill>
                    <w14:schemeClr w14:val="tx1"/>
                  </w14:solidFill>
                </w14:textFill>
              </w:rPr>
              <w:t>均压环</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220kV及以上电压等级电容式电压互感器应配备，均压环应耐腐蚀。</w:t>
            </w:r>
          </w:p>
          <w:p>
            <w:pPr>
              <w:adjustRightInd w:val="0"/>
              <w:snapToGrid w:val="0"/>
              <w:spacing w:line="360" w:lineRule="auto"/>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均压环材质</w:t>
            </w:r>
          </w:p>
        </w:tc>
        <w:tc>
          <w:tcPr>
            <w:tcW w:w="1490" w:type="dxa"/>
            <w:vAlign w:val="center"/>
          </w:tcPr>
          <w:p>
            <w:pPr>
              <w:jc w:val="center"/>
              <w:rPr>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文件名称、文件编号、文件起止页码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w:t>
            </w:r>
          </w:p>
        </w:tc>
        <w:tc>
          <w:tcPr>
            <w:tcW w:w="6234" w:type="dxa"/>
            <w:vAlign w:val="center"/>
          </w:tcPr>
          <w:p>
            <w:pPr>
              <w:widowControl/>
              <w:spacing w:line="360" w:lineRule="auto"/>
              <w:rPr>
                <w:rFonts w:ascii="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原材料要求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14:textFill>
                  <w14:solidFill>
                    <w14:schemeClr w14:val="tx1"/>
                  </w14:solidFill>
                </w14:textFill>
              </w:rPr>
            </w:pPr>
          </w:p>
        </w:tc>
        <w:tc>
          <w:tcPr>
            <w:tcW w:w="1490" w:type="dxa"/>
            <w:vAlign w:val="center"/>
          </w:tcPr>
          <w:p>
            <w:pPr>
              <w:jc w:val="center"/>
              <w:rPr>
                <w:color w:val="000000" w:themeColor="text1"/>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8" w:hRule="atLeast"/>
          <w:jc w:val="center"/>
        </w:trPr>
        <w:tc>
          <w:tcPr>
            <w:tcW w:w="835" w:type="dxa"/>
            <w:vAlign w:val="center"/>
          </w:tcPr>
          <w:p>
            <w:pPr>
              <w:jc w:val="center"/>
              <w:rPr>
                <w:rFonts w:ascii="宋体" w:hAnsi="宋体" w:cs="宋体"/>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5.2.4.1</w:t>
            </w:r>
          </w:p>
        </w:tc>
        <w:tc>
          <w:tcPr>
            <w:tcW w:w="6234" w:type="dxa"/>
            <w:vAlign w:val="center"/>
          </w:tcPr>
          <w:p>
            <w:pPr>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密封胶圈在每一批物料进厂时，均对密封胶圈进行耐油、耐老化、永久压缩变形、脆性温度等试验，每批进厂进行永久压缩变形检验合格后方可入库使用。</w:t>
            </w:r>
          </w:p>
        </w:tc>
        <w:tc>
          <w:tcPr>
            <w:tcW w:w="1203" w:type="dxa"/>
            <w:vAlign w:val="center"/>
          </w:tcPr>
          <w:p>
            <w:pPr>
              <w:jc w:val="center"/>
              <w:rPr>
                <w:rFonts w:ascii="宋体" w:hAnsi="宋体" w:cs="宋体"/>
                <w:color w:val="000000" w:themeColor="text1"/>
                <w:sz w:val="18"/>
                <w:szCs w:val="18"/>
                <w14:textFill>
                  <w14:solidFill>
                    <w14:schemeClr w14:val="tx1"/>
                  </w14:solidFill>
                </w14:textFill>
              </w:rPr>
            </w:pPr>
          </w:p>
        </w:tc>
        <w:tc>
          <w:tcPr>
            <w:tcW w:w="1560"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关键原材料及组部件型号及供应商列表、文件编号、文件起止页码页码</w:t>
            </w:r>
          </w:p>
        </w:tc>
        <w:tc>
          <w:tcPr>
            <w:tcW w:w="1559" w:type="dxa"/>
            <w:vAlign w:val="center"/>
          </w:tcPr>
          <w:p>
            <w:pPr>
              <w:jc w:val="center"/>
              <w:rPr>
                <w:rFonts w:ascii="宋体" w:hAnsi="宋体" w:cs="宋体"/>
                <w:color w:val="000000" w:themeColor="text1"/>
                <w:sz w:val="18"/>
                <w:szCs w:val="18"/>
                <w14:textFill>
                  <w14:solidFill>
                    <w14:schemeClr w14:val="tx1"/>
                  </w14:solidFill>
                </w14:textFill>
              </w:rPr>
            </w:pPr>
          </w:p>
        </w:tc>
        <w:tc>
          <w:tcPr>
            <w:tcW w:w="1276" w:type="dxa"/>
            <w:vAlign w:val="center"/>
          </w:tcPr>
          <w:p>
            <w:pPr>
              <w:jc w:val="center"/>
              <w:rPr>
                <w:rFonts w:ascii="宋体" w:hAnsi="宋体" w:cs="宋体"/>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adjustRightInd w:val="0"/>
              <w:snapToGrid w:val="0"/>
              <w:spacing w:line="360" w:lineRule="auto"/>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5.2.4.</w:t>
            </w:r>
            <w:r>
              <w:rPr>
                <w:rFonts w:hint="eastAsia"/>
                <w:color w:val="000000" w:themeColor="text1"/>
                <w:sz w:val="18"/>
                <w:szCs w:val="18"/>
                <w14:textFill>
                  <w14:solidFill>
                    <w14:schemeClr w14:val="tx1"/>
                  </w14:solidFill>
                </w14:textFill>
              </w:rPr>
              <w:t>2</w:t>
            </w:r>
          </w:p>
        </w:tc>
        <w:tc>
          <w:tcPr>
            <w:tcW w:w="6234" w:type="dxa"/>
            <w:vAlign w:val="center"/>
          </w:tcPr>
          <w:p>
            <w:pPr>
              <w:rPr>
                <w:color w:val="000000" w:themeColor="text1"/>
                <w:sz w:val="18"/>
                <w:szCs w:val="18"/>
                <w14:textFill>
                  <w14:solidFill>
                    <w14:schemeClr w14:val="tx1"/>
                  </w14:solidFill>
                </w14:textFill>
              </w:rPr>
            </w:pPr>
            <w:r>
              <w:rPr>
                <w:rFonts w:hint="eastAsia" w:ascii="宋体" w:hAnsi="宋体"/>
                <w:snapToGrid w:val="0"/>
                <w:color w:val="000000" w:themeColor="text1"/>
                <w:sz w:val="18"/>
                <w:szCs w:val="18"/>
                <w14:textFill>
                  <w14:solidFill>
                    <w14:schemeClr w14:val="tx1"/>
                  </w14:solidFill>
                </w14:textFill>
              </w:rPr>
              <w:t>电容器纸、铝箔、薄膜等原材料存放室温控制在16～26℃，湿度40～60%之间，洁净度6级以上，以避免因材料的温湿度差异造成元件卷制时产生</w:t>
            </w:r>
            <w:r>
              <w:rPr>
                <w:rFonts w:ascii="宋体" w:hAnsi="宋体"/>
                <w:snapToGrid w:val="0"/>
                <w:color w:val="000000" w:themeColor="text1"/>
                <w:sz w:val="18"/>
                <w:szCs w:val="18"/>
                <w14:textFill>
                  <w14:solidFill>
                    <w14:schemeClr w14:val="tx1"/>
                  </w14:solidFill>
                </w14:textFill>
              </w:rPr>
              <w:t>褶皱</w:t>
            </w:r>
            <w:r>
              <w:rPr>
                <w:rFonts w:hint="eastAsia" w:ascii="宋体" w:hAnsi="宋体"/>
                <w:snapToGrid w:val="0"/>
                <w:color w:val="000000" w:themeColor="text1"/>
                <w:sz w:val="18"/>
                <w:szCs w:val="18"/>
                <w14:textFill>
                  <w14:solidFill>
                    <w14:schemeClr w14:val="tx1"/>
                  </w14:solidFill>
                </w14:textFill>
              </w:rPr>
              <w:t>。</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相应要求的满足情况（存储环境）</w:t>
            </w:r>
          </w:p>
        </w:tc>
        <w:tc>
          <w:tcPr>
            <w:tcW w:w="1490" w:type="dxa"/>
            <w:vAlign w:val="center"/>
          </w:tcPr>
          <w:p>
            <w:pPr>
              <w:jc w:val="center"/>
              <w:rPr>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关键原材料及组部件型号及供应商列表、文件编号、文件起止页码页码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5.2.4.3</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中间变绕</w:t>
            </w:r>
            <w:r>
              <w:rPr>
                <w:rFonts w:hint="eastAsia" w:ascii="宋体" w:hAnsi="宋体"/>
                <w:snapToGrid w:val="0"/>
                <w:color w:val="000000" w:themeColor="text1"/>
                <w:sz w:val="18"/>
                <w:szCs w:val="18"/>
                <w14:textFill>
                  <w14:solidFill>
                    <w14:schemeClr w14:val="tx1"/>
                  </w14:solidFill>
                </w14:textFill>
              </w:rPr>
              <w:t>组宜选用耐热等级为</w:t>
            </w:r>
            <w:r>
              <w:rPr>
                <w:rFonts w:ascii="宋体" w:hAnsi="宋体"/>
                <w:snapToGrid w:val="0"/>
                <w:color w:val="000000" w:themeColor="text1"/>
                <w:sz w:val="18"/>
                <w:szCs w:val="18"/>
                <w14:textFill>
                  <w14:solidFill>
                    <w14:schemeClr w14:val="tx1"/>
                  </w14:solidFill>
                </w14:textFill>
              </w:rPr>
              <w:t>E级缩醛漆包圆铜线或耐热等级为B级聚酯漆包圆铜线，导线入厂时应</w:t>
            </w:r>
            <w:r>
              <w:rPr>
                <w:rFonts w:hint="eastAsia" w:ascii="宋体" w:hAnsi="宋体" w:cs="宋体"/>
                <w:color w:val="000000" w:themeColor="text1"/>
                <w:kern w:val="0"/>
                <w:sz w:val="18"/>
                <w:szCs w:val="18"/>
                <w14:textFill>
                  <w14:solidFill>
                    <w14:schemeClr w14:val="tx1"/>
                  </w14:solidFill>
                </w14:textFill>
              </w:rPr>
              <w:t>对材料漆膜进行厚度及绝缘测试。</w:t>
            </w:r>
          </w:p>
        </w:tc>
        <w:tc>
          <w:tcPr>
            <w:tcW w:w="1203"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408</w:t>
            </w: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导线类型、拉伸屈服强度</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5.2.4.4</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电容器用双轴定向聚丙烯薄膜应符合</w:t>
            </w:r>
            <w:r>
              <w:rPr>
                <w:color w:val="000000" w:themeColor="text1"/>
                <w:sz w:val="18"/>
                <w:szCs w:val="18"/>
                <w14:textFill>
                  <w14:solidFill>
                    <w14:schemeClr w14:val="tx1"/>
                  </w14:solidFill>
                </w14:textFill>
              </w:rPr>
              <w:t>GB/T13542.3</w:t>
            </w:r>
            <w:r>
              <w:rPr>
                <w:rFonts w:hint="eastAsia"/>
                <w:color w:val="000000" w:themeColor="text1"/>
                <w:sz w:val="18"/>
                <w:szCs w:val="18"/>
                <w14:textFill>
                  <w14:solidFill>
                    <w14:schemeClr w14:val="tx1"/>
                  </w14:solidFill>
                </w14:textFill>
              </w:rPr>
              <w:t>的要求，表面光洁，厚度均匀，无缺陷，宽度偏差±</w:t>
            </w:r>
            <w:r>
              <w:rPr>
                <w:color w:val="000000" w:themeColor="text1"/>
                <w:sz w:val="18"/>
                <w:szCs w:val="18"/>
                <w14:textFill>
                  <w14:solidFill>
                    <w14:schemeClr w14:val="tx1"/>
                  </w14:solidFill>
                </w14:textFill>
              </w:rPr>
              <w:t>1mm</w:t>
            </w:r>
            <w:r>
              <w:rPr>
                <w:rFonts w:hint="eastAsia"/>
                <w:color w:val="000000" w:themeColor="text1"/>
                <w:sz w:val="18"/>
                <w:szCs w:val="18"/>
                <w14:textFill>
                  <w14:solidFill>
                    <w14:schemeClr w14:val="tx1"/>
                  </w14:solidFill>
                </w14:textFill>
              </w:rPr>
              <w:t>，空隙率平均在</w:t>
            </w:r>
            <w:r>
              <w:rPr>
                <w:color w:val="000000" w:themeColor="text1"/>
                <w:sz w:val="18"/>
                <w:szCs w:val="18"/>
                <w14:textFill>
                  <w14:solidFill>
                    <w14:schemeClr w14:val="tx1"/>
                  </w14:solidFill>
                </w14:textFill>
              </w:rPr>
              <w:t>7%~10%</w:t>
            </w:r>
            <w:r>
              <w:rPr>
                <w:rFonts w:hint="eastAsia"/>
                <w:color w:val="000000" w:themeColor="text1"/>
                <w:sz w:val="18"/>
                <w:szCs w:val="18"/>
                <w14:textFill>
                  <w14:solidFill>
                    <w14:schemeClr w14:val="tx1"/>
                  </w14:solidFill>
                </w14:textFill>
              </w:rPr>
              <w:t>范围内，纵向热收缩率≤</w:t>
            </w:r>
            <w:r>
              <w:rPr>
                <w:color w:val="000000" w:themeColor="text1"/>
                <w:sz w:val="18"/>
                <w:szCs w:val="18"/>
                <w14:textFill>
                  <w14:solidFill>
                    <w14:schemeClr w14:val="tx1"/>
                  </w14:solidFill>
                </w14:textFill>
              </w:rPr>
              <w:t>5.0%</w:t>
            </w:r>
            <w:r>
              <w:rPr>
                <w:rFonts w:hint="eastAsia"/>
                <w:color w:val="000000" w:themeColor="text1"/>
                <w:sz w:val="18"/>
                <w:szCs w:val="18"/>
                <w14:textFill>
                  <w14:solidFill>
                    <w14:schemeClr w14:val="tx1"/>
                  </w14:solidFill>
                </w14:textFill>
              </w:rPr>
              <w:t>；横向热收缩率≤</w:t>
            </w:r>
            <w:r>
              <w:rPr>
                <w:color w:val="000000" w:themeColor="text1"/>
                <w:sz w:val="18"/>
                <w:szCs w:val="18"/>
                <w14:textFill>
                  <w14:solidFill>
                    <w14:schemeClr w14:val="tx1"/>
                  </w14:solidFill>
                </w14:textFill>
              </w:rPr>
              <w:t>3.0%</w:t>
            </w:r>
            <w:r>
              <w:rPr>
                <w:rFonts w:hint="eastAsia"/>
                <w:color w:val="000000" w:themeColor="text1"/>
                <w:sz w:val="18"/>
                <w:szCs w:val="18"/>
                <w14:textFill>
                  <w14:solidFill>
                    <w14:schemeClr w14:val="tx1"/>
                  </w14:solidFill>
                </w14:textFill>
              </w:rPr>
              <w:t>，平均击穿电压≥</w:t>
            </w:r>
            <w:r>
              <w:rPr>
                <w:color w:val="000000" w:themeColor="text1"/>
                <w:sz w:val="18"/>
                <w:szCs w:val="18"/>
                <w14:textFill>
                  <w14:solidFill>
                    <w14:schemeClr w14:val="tx1"/>
                  </w14:solidFill>
                </w14:textFill>
              </w:rPr>
              <w:t>330kV/mm</w:t>
            </w:r>
            <w:r>
              <w:rPr>
                <w:rFonts w:hint="eastAsia"/>
                <w:color w:val="000000" w:themeColor="text1"/>
                <w:sz w:val="18"/>
                <w:szCs w:val="18"/>
                <w14:textFill>
                  <w14:solidFill>
                    <w14:schemeClr w14:val="tx1"/>
                  </w14:solidFill>
                </w14:textFill>
              </w:rPr>
              <w:t>，介质损耗因数≤</w:t>
            </w:r>
            <w:r>
              <w:rPr>
                <w:color w:val="000000" w:themeColor="text1"/>
                <w:sz w:val="18"/>
                <w:szCs w:val="18"/>
                <w14:textFill>
                  <w14:solidFill>
                    <w14:schemeClr w14:val="tx1"/>
                  </w14:solidFill>
                </w14:textFill>
              </w:rPr>
              <w:t>0.03%</w:t>
            </w:r>
            <w:r>
              <w:rPr>
                <w:rFonts w:hint="eastAsia"/>
                <w:color w:val="000000" w:themeColor="text1"/>
                <w:sz w:val="18"/>
                <w:szCs w:val="18"/>
                <w14:textFill>
                  <w14:solidFill>
                    <w14:schemeClr w14:val="tx1"/>
                  </w14:solidFill>
                </w14:textFill>
              </w:rPr>
              <w:t>。</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5.2.4.5</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电容器用铝箔应符合</w:t>
            </w:r>
            <w:r>
              <w:rPr>
                <w:color w:val="000000" w:themeColor="text1"/>
                <w:sz w:val="18"/>
                <w:szCs w:val="18"/>
                <w14:textFill>
                  <w14:solidFill>
                    <w14:schemeClr w14:val="tx1"/>
                  </w14:solidFill>
                </w14:textFill>
              </w:rPr>
              <w:t>GB/T 22642</w:t>
            </w:r>
            <w:r>
              <w:rPr>
                <w:rFonts w:hint="eastAsia"/>
                <w:color w:val="000000" w:themeColor="text1"/>
                <w:sz w:val="18"/>
                <w:szCs w:val="18"/>
                <w14:textFill>
                  <w14:solidFill>
                    <w14:schemeClr w14:val="tx1"/>
                  </w14:solidFill>
                </w14:textFill>
              </w:rPr>
              <w:t>的要求，表面光洁，无毛刺、无划痕，无色差，无杂质。同一批材料厚度允许偏差±</w:t>
            </w:r>
            <w:r>
              <w:rPr>
                <w:color w:val="000000" w:themeColor="text1"/>
                <w:sz w:val="18"/>
                <w:szCs w:val="18"/>
                <w14:textFill>
                  <w14:solidFill>
                    <w14:schemeClr w14:val="tx1"/>
                  </w14:solidFill>
                </w14:textFill>
              </w:rPr>
              <w:t>0.5</w:t>
            </w:r>
            <w:r>
              <w:rPr>
                <w:rFonts w:hint="eastAsia"/>
                <w:color w:val="000000" w:themeColor="text1"/>
                <w:sz w:val="18"/>
                <w:szCs w:val="18"/>
                <w14:textFill>
                  <w14:solidFill>
                    <w14:schemeClr w14:val="tx1"/>
                  </w14:solidFill>
                </w14:textFill>
              </w:rPr>
              <w:t>；宽度偏差±</w:t>
            </w:r>
            <w:r>
              <w:rPr>
                <w:color w:val="000000" w:themeColor="text1"/>
                <w:sz w:val="18"/>
                <w:szCs w:val="18"/>
                <w14:textFill>
                  <w14:solidFill>
                    <w14:schemeClr w14:val="tx1"/>
                  </w14:solidFill>
                </w14:textFill>
              </w:rPr>
              <w:t>0.5mm</w:t>
            </w:r>
            <w:r>
              <w:rPr>
                <w:rFonts w:hint="eastAsia"/>
                <w:color w:val="000000" w:themeColor="text1"/>
                <w:sz w:val="18"/>
                <w:szCs w:val="18"/>
                <w14:textFill>
                  <w14:solidFill>
                    <w14:schemeClr w14:val="tx1"/>
                  </w14:solidFill>
                </w14:textFill>
              </w:rPr>
              <w:t>，针孔数每</w:t>
            </w:r>
            <w:r>
              <w:rPr>
                <w:color w:val="000000" w:themeColor="text1"/>
                <w:sz w:val="18"/>
                <w:szCs w:val="18"/>
                <w14:textFill>
                  <w14:solidFill>
                    <w14:schemeClr w14:val="tx1"/>
                  </w14:solidFill>
                </w14:textFill>
              </w:rPr>
              <w:t>25mm*25mm</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10</w:t>
            </w:r>
            <w:r>
              <w:rPr>
                <w:rFonts w:hint="eastAsia"/>
                <w:color w:val="000000" w:themeColor="text1"/>
                <w:sz w:val="18"/>
                <w:szCs w:val="18"/>
                <w14:textFill>
                  <w14:solidFill>
                    <w14:schemeClr w14:val="tx1"/>
                  </w14:solidFill>
                </w14:textFill>
              </w:rPr>
              <w:t>个。</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5.2.4.6</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电容器用油应符合</w:t>
            </w:r>
            <w:r>
              <w:rPr>
                <w:color w:val="000000" w:themeColor="text1"/>
                <w:sz w:val="18"/>
                <w:szCs w:val="18"/>
                <w14:textFill>
                  <w14:solidFill>
                    <w14:schemeClr w14:val="tx1"/>
                  </w14:solidFill>
                </w14:textFill>
              </w:rPr>
              <w:t>GB/T 21221</w:t>
            </w:r>
            <w:r>
              <w:rPr>
                <w:rFonts w:hint="eastAsia"/>
                <w:color w:val="000000" w:themeColor="text1"/>
                <w:sz w:val="18"/>
                <w:szCs w:val="18"/>
                <w14:textFill>
                  <w14:solidFill>
                    <w14:schemeClr w14:val="tx1"/>
                  </w14:solidFill>
                </w14:textFill>
              </w:rPr>
              <w:t>的要求，纯净、无杂质，使用前经抽真空、干燥、过滤处理后击穿电压应≥</w:t>
            </w:r>
            <w:r>
              <w:rPr>
                <w:color w:val="000000" w:themeColor="text1"/>
                <w:sz w:val="18"/>
                <w:szCs w:val="18"/>
                <w14:textFill>
                  <w14:solidFill>
                    <w14:schemeClr w14:val="tx1"/>
                  </w14:solidFill>
                </w14:textFill>
              </w:rPr>
              <w:t>60kV</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2.5mm</w:t>
            </w:r>
            <w:r>
              <w:rPr>
                <w:rFonts w:hint="eastAsia"/>
                <w:color w:val="000000" w:themeColor="text1"/>
                <w:sz w:val="18"/>
                <w:szCs w:val="18"/>
                <w14:textFill>
                  <w14:solidFill>
                    <w14:schemeClr w14:val="tx1"/>
                  </w14:solidFill>
                </w14:textFill>
              </w:rPr>
              <w:t>球电极），含水量≤</w:t>
            </w:r>
            <w:r>
              <w:rPr>
                <w:color w:val="000000" w:themeColor="text1"/>
                <w:sz w:val="18"/>
                <w:szCs w:val="18"/>
                <w14:textFill>
                  <w14:solidFill>
                    <w14:schemeClr w14:val="tx1"/>
                  </w14:solidFill>
                </w14:textFill>
              </w:rPr>
              <w:t>15mg/L,</w:t>
            </w:r>
            <w:r>
              <w:rPr>
                <w:rFonts w:hint="eastAsia"/>
                <w:color w:val="000000" w:themeColor="text1"/>
                <w:sz w:val="18"/>
                <w:szCs w:val="18"/>
                <w14:textFill>
                  <w14:solidFill>
                    <w14:schemeClr w14:val="tx1"/>
                  </w14:solidFill>
                </w14:textFill>
              </w:rPr>
              <w:t>介质损耗因数≤</w:t>
            </w:r>
            <w:r>
              <w:rPr>
                <w:color w:val="000000" w:themeColor="text1"/>
                <w:sz w:val="18"/>
                <w:szCs w:val="18"/>
                <w14:textFill>
                  <w14:solidFill>
                    <w14:schemeClr w14:val="tx1"/>
                  </w14:solidFill>
                </w14:textFill>
              </w:rPr>
              <w:t>0.1%</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90</w:t>
            </w:r>
            <w:r>
              <w:rPr>
                <w:rFonts w:hint="eastAsia"/>
                <w:color w:val="000000" w:themeColor="text1"/>
                <w:sz w:val="18"/>
                <w:szCs w:val="18"/>
                <w14:textFill>
                  <w14:solidFill>
                    <w14:schemeClr w14:val="tx1"/>
                  </w14:solidFill>
                </w14:textFill>
              </w:rPr>
              <w:t>℃）。</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5.2.4.7</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电容器纸应采用符合</w:t>
            </w:r>
            <w:r>
              <w:rPr>
                <w:color w:val="000000" w:themeColor="text1"/>
                <w:sz w:val="18"/>
                <w:szCs w:val="18"/>
                <w14:textFill>
                  <w14:solidFill>
                    <w14:schemeClr w14:val="tx1"/>
                  </w14:solidFill>
                </w14:textFill>
              </w:rPr>
              <w:t>GB/T12913</w:t>
            </w:r>
            <w:r>
              <w:rPr>
                <w:rFonts w:hint="eastAsia"/>
                <w:color w:val="000000" w:themeColor="text1"/>
                <w:sz w:val="18"/>
                <w:szCs w:val="18"/>
                <w14:textFill>
                  <w14:solidFill>
                    <w14:schemeClr w14:val="tx1"/>
                  </w14:solidFill>
                </w14:textFill>
              </w:rPr>
              <w:t>要求的优等品。厚度偏差≤</w:t>
            </w:r>
            <w:r>
              <w:rPr>
                <w:color w:val="000000" w:themeColor="text1"/>
                <w:sz w:val="18"/>
                <w:szCs w:val="18"/>
                <w14:textFill>
                  <w14:solidFill>
                    <w14:schemeClr w14:val="tx1"/>
                  </w14:solidFill>
                </w14:textFill>
              </w:rPr>
              <w:t>7%</w:t>
            </w:r>
            <w:r>
              <w:rPr>
                <w:rFonts w:hint="eastAsia"/>
                <w:color w:val="000000" w:themeColor="text1"/>
                <w:sz w:val="18"/>
                <w:szCs w:val="18"/>
                <w14:textFill>
                  <w14:solidFill>
                    <w14:schemeClr w14:val="tx1"/>
                  </w14:solidFill>
                </w14:textFill>
              </w:rPr>
              <w:t>，击穿电压≥</w:t>
            </w:r>
            <w:r>
              <w:rPr>
                <w:color w:val="000000" w:themeColor="text1"/>
                <w:sz w:val="18"/>
                <w:szCs w:val="18"/>
                <w14:textFill>
                  <w14:solidFill>
                    <w14:schemeClr w14:val="tx1"/>
                  </w14:solidFill>
                </w14:textFill>
              </w:rPr>
              <w:t>450V/</w:t>
            </w:r>
            <w:r>
              <w:rPr>
                <w:rFonts w:hint="eastAsia"/>
                <w:color w:val="000000" w:themeColor="text1"/>
                <w:sz w:val="18"/>
                <w:szCs w:val="18"/>
                <w14:textFill>
                  <w14:solidFill>
                    <w14:schemeClr w14:val="tx1"/>
                  </w14:solidFill>
                </w14:textFill>
              </w:rPr>
              <w:t>层，介质损耗因数≤</w:t>
            </w:r>
            <w:r>
              <w:rPr>
                <w:color w:val="000000" w:themeColor="text1"/>
                <w:sz w:val="18"/>
                <w:szCs w:val="18"/>
                <w14:textFill>
                  <w14:solidFill>
                    <w14:schemeClr w14:val="tx1"/>
                  </w14:solidFill>
                </w14:textFill>
              </w:rPr>
              <w:t>0.2%</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100</w:t>
            </w:r>
            <w:r>
              <w:rPr>
                <w:rFonts w:hint="eastAsia"/>
                <w:color w:val="000000" w:themeColor="text1"/>
                <w:sz w:val="18"/>
                <w:szCs w:val="18"/>
                <w14:textFill>
                  <w14:solidFill>
                    <w14:schemeClr w14:val="tx1"/>
                  </w14:solidFill>
                </w14:textFill>
              </w:rPr>
              <w:t>℃）。</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bookmarkStart w:id="235" w:name="_Hlk2329408"/>
            <w:r>
              <w:rPr>
                <w:rFonts w:hint="eastAsia"/>
                <w:color w:val="000000" w:themeColor="text1"/>
                <w:sz w:val="18"/>
                <w:szCs w:val="18"/>
                <w14:textFill>
                  <w14:solidFill>
                    <w14:schemeClr w14:val="tx1"/>
                  </w14:solidFill>
                </w14:textFill>
              </w:rPr>
              <w:t>5.2.4.8</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电磁单元应选用</w:t>
            </w:r>
            <w:r>
              <w:rPr>
                <w:color w:val="000000" w:themeColor="text1"/>
                <w:sz w:val="18"/>
                <w:szCs w:val="18"/>
                <w14:textFill>
                  <w14:solidFill>
                    <w14:schemeClr w14:val="tx1"/>
                  </w14:solidFill>
                </w14:textFill>
              </w:rPr>
              <w:t>#25</w:t>
            </w:r>
            <w:r>
              <w:rPr>
                <w:rFonts w:hint="eastAsia"/>
                <w:color w:val="000000" w:themeColor="text1"/>
                <w:sz w:val="18"/>
                <w:szCs w:val="18"/>
                <w14:textFill>
                  <w14:solidFill>
                    <w14:schemeClr w14:val="tx1"/>
                  </w14:solidFill>
                </w14:textFill>
              </w:rPr>
              <w:t>矿物绝缘油，并符合国标</w:t>
            </w:r>
            <w:r>
              <w:rPr>
                <w:color w:val="000000" w:themeColor="text1"/>
                <w:sz w:val="18"/>
                <w:szCs w:val="18"/>
                <w14:textFill>
                  <w14:solidFill>
                    <w14:schemeClr w14:val="tx1"/>
                  </w14:solidFill>
                </w14:textFill>
              </w:rPr>
              <w:t>GB/T 2536</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GB/T7595</w:t>
            </w:r>
            <w:r>
              <w:rPr>
                <w:rFonts w:hint="eastAsia"/>
                <w:color w:val="000000" w:themeColor="text1"/>
                <w:sz w:val="18"/>
                <w:szCs w:val="18"/>
                <w14:textFill>
                  <w14:solidFill>
                    <w14:schemeClr w14:val="tx1"/>
                  </w14:solidFill>
                </w14:textFill>
              </w:rPr>
              <w:t>的规定。使用前经抽真空、干燥、过滤处理后击穿电压应≥</w:t>
            </w:r>
            <w:r>
              <w:rPr>
                <w:color w:val="000000" w:themeColor="text1"/>
                <w:sz w:val="18"/>
                <w:szCs w:val="18"/>
                <w14:textFill>
                  <w14:solidFill>
                    <w14:schemeClr w14:val="tx1"/>
                  </w14:solidFill>
                </w14:textFill>
              </w:rPr>
              <w:t>60kV</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2.5mm</w:t>
            </w:r>
            <w:r>
              <w:rPr>
                <w:rFonts w:hint="eastAsia"/>
                <w:color w:val="000000" w:themeColor="text1"/>
                <w:sz w:val="18"/>
                <w:szCs w:val="18"/>
                <w14:textFill>
                  <w14:solidFill>
                    <w14:schemeClr w14:val="tx1"/>
                  </w14:solidFill>
                </w14:textFill>
              </w:rPr>
              <w:t>球电极），含水量≤</w:t>
            </w:r>
            <w:r>
              <w:rPr>
                <w:color w:val="000000" w:themeColor="text1"/>
                <w:sz w:val="18"/>
                <w:szCs w:val="18"/>
                <w14:textFill>
                  <w14:solidFill>
                    <w14:schemeClr w14:val="tx1"/>
                  </w14:solidFill>
                </w14:textFill>
              </w:rPr>
              <w:t>15mg/L,</w:t>
            </w:r>
            <w:r>
              <w:rPr>
                <w:rFonts w:hint="eastAsia"/>
                <w:color w:val="000000" w:themeColor="text1"/>
                <w:sz w:val="18"/>
                <w:szCs w:val="18"/>
                <w14:textFill>
                  <w14:solidFill>
                    <w14:schemeClr w14:val="tx1"/>
                  </w14:solidFill>
                </w14:textFill>
              </w:rPr>
              <w:t>介质损耗因数≤</w:t>
            </w:r>
            <w:r>
              <w:rPr>
                <w:color w:val="000000" w:themeColor="text1"/>
                <w:sz w:val="18"/>
                <w:szCs w:val="18"/>
                <w14:textFill>
                  <w14:solidFill>
                    <w14:schemeClr w14:val="tx1"/>
                  </w14:solidFill>
                </w14:textFill>
              </w:rPr>
              <w:t>0.1%</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90</w:t>
            </w:r>
            <w:r>
              <w:rPr>
                <w:rFonts w:hint="eastAsia"/>
                <w:color w:val="000000" w:themeColor="text1"/>
                <w:sz w:val="18"/>
                <w:szCs w:val="18"/>
                <w14:textFill>
                  <w14:solidFill>
                    <w14:schemeClr w14:val="tx1"/>
                  </w14:solidFill>
                </w14:textFill>
              </w:rPr>
              <w:t>℃）。</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bookmarkEnd w:id="23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5.2.4.9</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不同品类的油不得混用，与变压器油、</w:t>
            </w:r>
            <w:r>
              <w:rPr>
                <w:color w:val="000000" w:themeColor="text1"/>
                <w:sz w:val="18"/>
                <w:szCs w:val="18"/>
                <w14:textFill>
                  <w14:solidFill>
                    <w14:schemeClr w14:val="tx1"/>
                  </w14:solidFill>
                </w14:textFill>
              </w:rPr>
              <w:t>PXE</w:t>
            </w:r>
            <w:r>
              <w:rPr>
                <w:rFonts w:hint="eastAsia"/>
                <w:color w:val="000000" w:themeColor="text1"/>
                <w:sz w:val="18"/>
                <w:szCs w:val="18"/>
                <w14:textFill>
                  <w14:solidFill>
                    <w14:schemeClr w14:val="tx1"/>
                  </w14:solidFill>
                </w14:textFill>
              </w:rPr>
              <w:t>油相接触的绝缘材料、胶、漆等与油应有良好的相容性。</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5.2.5</w:t>
            </w:r>
          </w:p>
        </w:tc>
        <w:tc>
          <w:tcPr>
            <w:tcW w:w="6234" w:type="dxa"/>
            <w:vAlign w:val="center"/>
          </w:tcPr>
          <w:p>
            <w:pPr>
              <w:widowControl/>
              <w:spacing w:line="360" w:lineRule="auto"/>
              <w:rPr>
                <w:rFonts w:ascii="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接线端子及二次接线盒</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5.2.5.1</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ascii="宋体" w:hAnsi="宋体"/>
                <w:color w:val="000000" w:themeColor="text1"/>
                <w:kern w:val="0"/>
                <w:sz w:val="18"/>
                <w:szCs w:val="18"/>
                <w14:textFill>
                  <w14:solidFill>
                    <w14:schemeClr w14:val="tx1"/>
                  </w14:solidFill>
                </w14:textFill>
              </w:rPr>
              <w:t>一次</w:t>
            </w:r>
            <w:r>
              <w:rPr>
                <w:rFonts w:hint="eastAsia" w:ascii="宋体" w:hAnsi="宋体" w:cs="宋体"/>
                <w:color w:val="000000" w:themeColor="text1"/>
                <w:kern w:val="0"/>
                <w:sz w:val="18"/>
                <w:szCs w:val="18"/>
                <w14:textFill>
                  <w14:solidFill>
                    <w14:schemeClr w14:val="tx1"/>
                  </w14:solidFill>
                </w14:textFill>
              </w:rPr>
              <w:t>接线端子</w:t>
            </w:r>
          </w:p>
          <w:p>
            <w:pPr>
              <w:widowControl/>
              <w:spacing w:line="360" w:lineRule="auto"/>
              <w:ind w:firstLine="360" w:firstLineChars="200"/>
              <w:rPr>
                <w:rFonts w:ascii="宋体" w:hAnsi="宋体"/>
                <w:color w:val="000000" w:themeColor="text1"/>
                <w:kern w:val="0"/>
                <w:sz w:val="18"/>
                <w:szCs w:val="18"/>
                <w14:textFill>
                  <w14:solidFill>
                    <w14:schemeClr w14:val="tx1"/>
                  </w14:solidFill>
                </w14:textFill>
              </w:rPr>
            </w:pPr>
            <w:r>
              <w:rPr>
                <w:rFonts w:hint="eastAsia" w:ascii="宋体" w:hAnsi="宋体"/>
                <w:color w:val="000000" w:themeColor="text1"/>
                <w:kern w:val="0"/>
                <w:sz w:val="18"/>
                <w:szCs w:val="18"/>
                <w14:textFill>
                  <w14:solidFill>
                    <w14:schemeClr w14:val="tx1"/>
                  </w14:solidFill>
                </w14:textFill>
              </w:rPr>
              <w:t>1</w:t>
            </w:r>
            <w:r>
              <w:rPr>
                <w:rFonts w:ascii="宋体" w:hAnsi="宋体"/>
                <w:color w:val="000000" w:themeColor="text1"/>
                <w:kern w:val="0"/>
                <w:sz w:val="18"/>
                <w:szCs w:val="18"/>
                <w14:textFill>
                  <w14:solidFill>
                    <w14:schemeClr w14:val="tx1"/>
                  </w14:solidFill>
                </w14:textFill>
              </w:rPr>
              <w:t>)一次接线端子应采用单片平板式接线板</w:t>
            </w:r>
            <w:r>
              <w:rPr>
                <w:rFonts w:hint="eastAsia" w:ascii="宋体" w:hAnsi="宋体"/>
                <w:color w:val="000000" w:themeColor="text1"/>
                <w:kern w:val="0"/>
                <w:sz w:val="18"/>
                <w:szCs w:val="18"/>
                <w14:textFill>
                  <w14:solidFill>
                    <w14:schemeClr w14:val="tx1"/>
                  </w14:solidFill>
                </w14:textFill>
              </w:rPr>
              <w:t>，接线板应采用铝合金材质，</w:t>
            </w:r>
            <w:r>
              <w:rPr>
                <w:rFonts w:ascii="宋体" w:hAnsi="宋体"/>
                <w:color w:val="000000" w:themeColor="text1"/>
                <w:kern w:val="0"/>
                <w:sz w:val="18"/>
                <w:szCs w:val="18"/>
                <w14:textFill>
                  <w14:solidFill>
                    <w14:schemeClr w14:val="tx1"/>
                  </w14:solidFill>
                </w14:textFill>
              </w:rPr>
              <w:t>设计为防电晕式</w:t>
            </w:r>
            <w:r>
              <w:rPr>
                <w:rFonts w:hint="eastAsia" w:ascii="宋体" w:hAnsi="宋体"/>
                <w:color w:val="000000" w:themeColor="text1"/>
                <w:kern w:val="0"/>
                <w:sz w:val="18"/>
                <w:szCs w:val="18"/>
                <w14:textFill>
                  <w14:solidFill>
                    <w14:schemeClr w14:val="tx1"/>
                  </w14:solidFill>
                </w14:textFill>
              </w:rPr>
              <w:t>。接线板应采用高强度螺栓，并</w:t>
            </w:r>
            <w:r>
              <w:rPr>
                <w:rFonts w:ascii="宋体" w:hAnsi="宋体"/>
                <w:color w:val="000000" w:themeColor="text1"/>
                <w:kern w:val="0"/>
                <w:sz w:val="18"/>
                <w:szCs w:val="18"/>
                <w14:textFill>
                  <w14:solidFill>
                    <w14:schemeClr w14:val="tx1"/>
                  </w14:solidFill>
                </w14:textFill>
              </w:rPr>
              <w:t>提供紧固扭矩的要求。厂方应供给</w:t>
            </w:r>
            <w:r>
              <w:rPr>
                <w:rFonts w:hint="eastAsia" w:ascii="宋体" w:hAnsi="宋体"/>
                <w:color w:val="000000" w:themeColor="text1"/>
                <w:kern w:val="0"/>
                <w:sz w:val="18"/>
                <w:szCs w:val="18"/>
                <w14:textFill>
                  <w14:solidFill>
                    <w14:schemeClr w14:val="tx1"/>
                  </w14:solidFill>
                </w14:textFill>
              </w:rPr>
              <w:t>一次端子接线</w:t>
            </w:r>
            <w:r>
              <w:rPr>
                <w:rFonts w:ascii="宋体" w:hAnsi="宋体"/>
                <w:color w:val="000000" w:themeColor="text1"/>
                <w:kern w:val="0"/>
                <w:sz w:val="18"/>
                <w:szCs w:val="18"/>
                <w14:textFill>
                  <w14:solidFill>
                    <w14:schemeClr w14:val="tx1"/>
                  </w14:solidFill>
                </w14:textFill>
              </w:rPr>
              <w:t>用的全部紧固件（螺栓、螺帽及防松垫圈）</w:t>
            </w:r>
            <w:r>
              <w:rPr>
                <w:rFonts w:hint="eastAsia" w:ascii="宋体" w:hAnsi="宋体"/>
                <w:color w:val="000000" w:themeColor="text1"/>
                <w:kern w:val="0"/>
                <w:sz w:val="18"/>
                <w:szCs w:val="18"/>
                <w14:textFill>
                  <w14:solidFill>
                    <w14:schemeClr w14:val="tx1"/>
                  </w14:solidFill>
                </w14:textFill>
              </w:rPr>
              <w:t>。一次端子端子板应采用加强筋，防止运行中变形。</w:t>
            </w:r>
          </w:p>
          <w:p>
            <w:pPr>
              <w:spacing w:line="360" w:lineRule="auto"/>
              <w:ind w:firstLine="360" w:firstLineChars="200"/>
              <w:rPr>
                <w:rFonts w:ascii="宋体" w:hAnsi="宋体"/>
                <w:color w:val="000000" w:themeColor="text1"/>
                <w:sz w:val="18"/>
                <w:szCs w:val="18"/>
                <w14:textFill>
                  <w14:solidFill>
                    <w14:schemeClr w14:val="tx1"/>
                  </w14:solidFill>
                </w14:textFill>
              </w:rPr>
            </w:pPr>
            <w:r>
              <w:rPr>
                <w:rFonts w:hint="eastAsia" w:ascii="宋体" w:hAnsi="宋体"/>
                <w:color w:val="000000" w:themeColor="text1"/>
                <w:sz w:val="18"/>
                <w:szCs w:val="18"/>
                <w14:textFill>
                  <w14:solidFill>
                    <w14:schemeClr w14:val="tx1"/>
                  </w14:solidFill>
                </w14:textFill>
              </w:rPr>
              <w:t>2）</w:t>
            </w:r>
            <w:r>
              <w:rPr>
                <w:rFonts w:hAnsi="宋体"/>
                <w:color w:val="000000" w:themeColor="text1"/>
                <w:sz w:val="18"/>
                <w:szCs w:val="18"/>
                <w14:textFill>
                  <w14:solidFill>
                    <w14:schemeClr w14:val="tx1"/>
                  </w14:solidFill>
                </w14:textFill>
              </w:rPr>
              <w:t>紧固零件</w:t>
            </w:r>
            <w:r>
              <w:rPr>
                <w:rFonts w:hint="eastAsia" w:hAnsi="宋体"/>
                <w:color w:val="000000" w:themeColor="text1"/>
                <w:sz w:val="18"/>
                <w:szCs w:val="18"/>
                <w14:textFill>
                  <w14:solidFill>
                    <w14:schemeClr w14:val="tx1"/>
                  </w14:solidFill>
                </w14:textFill>
              </w:rPr>
              <w:t>表面</w:t>
            </w:r>
            <w:r>
              <w:rPr>
                <w:rFonts w:hAnsi="宋体"/>
                <w:color w:val="000000" w:themeColor="text1"/>
                <w:sz w:val="18"/>
                <w:szCs w:val="18"/>
                <w14:textFill>
                  <w14:solidFill>
                    <w14:schemeClr w14:val="tx1"/>
                  </w14:solidFill>
                </w14:textFill>
              </w:rPr>
              <w:t>应</w:t>
            </w:r>
            <w:r>
              <w:rPr>
                <w:rFonts w:hint="eastAsia" w:hAnsi="宋体"/>
                <w:color w:val="000000" w:themeColor="text1"/>
                <w:sz w:val="18"/>
                <w:szCs w:val="18"/>
                <w14:textFill>
                  <w14:solidFill>
                    <w14:schemeClr w14:val="tx1"/>
                  </w14:solidFill>
                </w14:textFill>
              </w:rPr>
              <w:t>涂</w:t>
            </w:r>
            <w:r>
              <w:rPr>
                <w:rFonts w:hAnsi="宋体"/>
                <w:color w:val="000000" w:themeColor="text1"/>
                <w:sz w:val="18"/>
                <w:szCs w:val="18"/>
                <w14:textFill>
                  <w14:solidFill>
                    <w14:schemeClr w14:val="tx1"/>
                  </w14:solidFill>
                </w14:textFill>
              </w:rPr>
              <w:t>有可靠的防锈镀</w:t>
            </w:r>
            <w:r>
              <w:rPr>
                <w:rFonts w:hint="eastAsia" w:hAnsi="宋体"/>
                <w:color w:val="000000" w:themeColor="text1"/>
                <w:sz w:val="18"/>
                <w:szCs w:val="18"/>
                <w14:textFill>
                  <w14:solidFill>
                    <w14:schemeClr w14:val="tx1"/>
                  </w14:solidFill>
                </w14:textFill>
              </w:rPr>
              <w:t>锌</w:t>
            </w:r>
            <w:r>
              <w:rPr>
                <w:rFonts w:hAnsi="宋体"/>
                <w:color w:val="000000" w:themeColor="text1"/>
                <w:sz w:val="18"/>
                <w:szCs w:val="18"/>
                <w14:textFill>
                  <w14:solidFill>
                    <w14:schemeClr w14:val="tx1"/>
                  </w14:solidFill>
                </w14:textFill>
              </w:rPr>
              <w:t>层</w:t>
            </w:r>
            <w:r>
              <w:rPr>
                <w:rFonts w:hint="eastAsia" w:hAnsi="宋体"/>
                <w:color w:val="000000" w:themeColor="text1"/>
                <w:sz w:val="18"/>
                <w:szCs w:val="18"/>
                <w14:textFill>
                  <w14:solidFill>
                    <w14:schemeClr w14:val="tx1"/>
                  </w14:solidFill>
                </w14:textFill>
              </w:rPr>
              <w:t>或采用不锈钢材料</w:t>
            </w:r>
            <w:r>
              <w:rPr>
                <w:rFonts w:ascii="宋体" w:hAnsi="宋体"/>
                <w:color w:val="000000" w:themeColor="text1"/>
                <w:sz w:val="18"/>
                <w:szCs w:val="18"/>
                <w14:textFill>
                  <w14:solidFill>
                    <w14:schemeClr w14:val="tx1"/>
                  </w14:solidFill>
                </w14:textFill>
              </w:rPr>
              <w:t>。</w:t>
            </w:r>
          </w:p>
          <w:p>
            <w:pPr>
              <w:spacing w:line="360" w:lineRule="auto"/>
              <w:ind w:firstLine="360" w:firstLineChars="200"/>
              <w:rPr>
                <w:rFonts w:ascii="宋体"/>
                <w:color w:val="000000" w:themeColor="text1"/>
                <w:sz w:val="18"/>
                <w:szCs w:val="18"/>
                <w14:textFill>
                  <w14:solidFill>
                    <w14:schemeClr w14:val="tx1"/>
                  </w14:solidFill>
                </w14:textFill>
              </w:rPr>
            </w:pPr>
            <w:r>
              <w:rPr>
                <w:rFonts w:hint="eastAsia" w:hAnsi="宋体"/>
                <w:color w:val="000000" w:themeColor="text1"/>
                <w:sz w:val="18"/>
                <w:szCs w:val="18"/>
                <w14:textFill>
                  <w14:solidFill>
                    <w14:schemeClr w14:val="tx1"/>
                  </w14:solidFill>
                </w14:textFill>
              </w:rPr>
              <w:t>3）一次接线端子</w:t>
            </w:r>
            <w:r>
              <w:rPr>
                <w:rFonts w:hint="eastAsia" w:ascii="宋体"/>
                <w:color w:val="000000" w:themeColor="text1"/>
                <w:sz w:val="18"/>
                <w:szCs w:val="18"/>
                <w14:textFill>
                  <w14:solidFill>
                    <w14:schemeClr w14:val="tx1"/>
                  </w14:solidFill>
                </w14:textFill>
              </w:rPr>
              <w:t>板横断面和接触面的长期允许电流不应小于额定电流的</w:t>
            </w:r>
            <w:r>
              <w:rPr>
                <w:rFonts w:ascii="宋体"/>
                <w:color w:val="000000" w:themeColor="text1"/>
                <w:sz w:val="18"/>
                <w:szCs w:val="18"/>
                <w14:textFill>
                  <w14:solidFill>
                    <w14:schemeClr w14:val="tx1"/>
                  </w14:solidFill>
                </w14:textFill>
              </w:rPr>
              <w:t xml:space="preserve">1.3 </w:t>
            </w:r>
            <w:r>
              <w:rPr>
                <w:rFonts w:hint="eastAsia" w:ascii="宋体"/>
                <w:color w:val="000000" w:themeColor="text1"/>
                <w:sz w:val="18"/>
                <w:szCs w:val="18"/>
                <w14:textFill>
                  <w14:solidFill>
                    <w14:schemeClr w14:val="tx1"/>
                  </w14:solidFill>
                </w14:textFill>
              </w:rPr>
              <w:t>倍。</w:t>
            </w:r>
          </w:p>
          <w:p>
            <w:pPr>
              <w:spacing w:line="360" w:lineRule="auto"/>
              <w:ind w:firstLine="360" w:firstLineChars="200"/>
              <w:rPr>
                <w:rFonts w:ascii="宋体"/>
                <w:color w:val="000000" w:themeColor="text1"/>
                <w:sz w:val="18"/>
                <w:szCs w:val="18"/>
                <w14:textFill>
                  <w14:solidFill>
                    <w14:schemeClr w14:val="tx1"/>
                  </w14:solidFill>
                </w14:textFill>
              </w:rPr>
            </w:pPr>
            <w:r>
              <w:rPr>
                <w:rFonts w:hint="eastAsia" w:ascii="宋体"/>
                <w:color w:val="000000" w:themeColor="text1"/>
                <w:sz w:val="18"/>
                <w:szCs w:val="18"/>
                <w14:textFill>
                  <w14:solidFill>
                    <w14:schemeClr w14:val="tx1"/>
                  </w14:solidFill>
                </w14:textFill>
              </w:rPr>
              <w:t>4）一次平板式接线板与设备本体的连接优先采用整体浇铸或焊接方式。如采用螺栓连接，应配置不少于4个螺栓，且螺孔深度不小于10mm，保证接线板与设备本体连接牢固可靠。</w:t>
            </w:r>
          </w:p>
          <w:p>
            <w:pPr>
              <w:autoSpaceDE w:val="0"/>
              <w:autoSpaceDN w:val="0"/>
              <w:adjustRightInd w:val="0"/>
              <w:spacing w:line="360" w:lineRule="auto"/>
              <w:ind w:firstLine="420"/>
              <w:rPr>
                <w:rFonts w:ascii="宋体" w:hAnsi="宋体" w:eastAsia="黑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5</w:t>
            </w:r>
            <w:r>
              <w:rPr>
                <w:rFonts w:ascii="宋体"/>
                <w:color w:val="000000" w:themeColor="text1"/>
                <w:kern w:val="0"/>
                <w:sz w:val="18"/>
                <w:szCs w:val="18"/>
                <w14:textFill>
                  <w14:solidFill>
                    <w14:schemeClr w14:val="tx1"/>
                  </w14:solidFill>
                </w14:textFill>
              </w:rPr>
              <w:t>)</w:t>
            </w:r>
            <w:r>
              <w:rPr>
                <w:rFonts w:hint="eastAsia" w:ascii="宋体"/>
                <w:color w:val="000000" w:themeColor="text1"/>
                <w:kern w:val="0"/>
                <w:sz w:val="18"/>
                <w:szCs w:val="18"/>
                <w14:textFill>
                  <w14:solidFill>
                    <w14:schemeClr w14:val="tx1"/>
                  </w14:solidFill>
                </w14:textFill>
              </w:rPr>
              <w:t>接线板的材料及结构形式、厚度等具体细节应在图纸中加以说明，接线板接触面的电流密度应符合DL/T 5222中的规定。</w:t>
            </w:r>
          </w:p>
          <w:p>
            <w:pPr>
              <w:autoSpaceDE w:val="0"/>
              <w:autoSpaceDN w:val="0"/>
              <w:adjustRightInd w:val="0"/>
              <w:spacing w:line="360" w:lineRule="auto"/>
              <w:ind w:firstLine="360" w:firstLineChars="200"/>
              <w:rPr>
                <w:rFonts w:ascii="宋体" w:hAnsi="宋体"/>
                <w:color w:val="000000" w:themeColor="text1"/>
                <w:sz w:val="18"/>
                <w:szCs w:val="18"/>
                <w14:textFill>
                  <w14:solidFill>
                    <w14:schemeClr w14:val="tx1"/>
                  </w14:solidFill>
                </w14:textFill>
              </w:rPr>
            </w:pPr>
            <w:r>
              <w:rPr>
                <w:rFonts w:hint="eastAsia" w:ascii="宋体" w:hAnsi="宋体"/>
                <w:color w:val="000000" w:themeColor="text1"/>
                <w:sz w:val="18"/>
                <w:szCs w:val="18"/>
                <w14:textFill>
                  <w14:solidFill>
                    <w14:schemeClr w14:val="tx1"/>
                  </w14:solidFill>
                </w14:textFill>
              </w:rPr>
              <w:t>6）</w:t>
            </w:r>
            <w:r>
              <w:rPr>
                <w:rFonts w:hint="eastAsia"/>
                <w:color w:val="000000" w:themeColor="text1"/>
                <w:sz w:val="18"/>
                <w:szCs w:val="18"/>
                <w14:textFill>
                  <w14:solidFill>
                    <w14:schemeClr w14:val="tx1"/>
                  </w14:solidFill>
                </w14:textFill>
              </w:rPr>
              <w:t>静态机械载荷</w:t>
            </w:r>
          </w:p>
          <w:p>
            <w:pPr>
              <w:autoSpaceDE w:val="0"/>
              <w:autoSpaceDN w:val="0"/>
              <w:adjustRightInd w:val="0"/>
              <w:spacing w:line="360" w:lineRule="auto"/>
              <w:ind w:firstLine="360" w:firstLineChars="200"/>
              <w:jc w:val="left"/>
              <w:rPr>
                <w:rFonts w:ascii="宋体"/>
                <w:color w:val="000000" w:themeColor="text1"/>
                <w:sz w:val="18"/>
                <w:szCs w:val="18"/>
                <w14:textFill>
                  <w14:solidFill>
                    <w14:schemeClr w14:val="tx1"/>
                  </w14:solidFill>
                </w14:textFill>
              </w:rPr>
            </w:pPr>
            <w:r>
              <w:rPr>
                <w:rFonts w:hint="eastAsia" w:ascii="宋体"/>
                <w:color w:val="000000" w:themeColor="text1"/>
                <w:sz w:val="18"/>
                <w:szCs w:val="18"/>
                <w14:textFill>
                  <w14:solidFill>
                    <w14:schemeClr w14:val="tx1"/>
                  </w14:solidFill>
                </w14:textFill>
              </w:rPr>
              <w:t>每台互感器一次回路应配有连接钢芯铝绞线的平板型端子板，允许作用于其上的静态机械载荷应满足要求。</w:t>
            </w:r>
          </w:p>
          <w:p>
            <w:pPr>
              <w:autoSpaceDE w:val="0"/>
              <w:autoSpaceDN w:val="0"/>
              <w:adjustRightInd w:val="0"/>
              <w:spacing w:line="360" w:lineRule="auto"/>
              <w:ind w:firstLine="270" w:firstLineChars="150"/>
              <w:jc w:val="left"/>
              <w:rPr>
                <w:rFonts w:ascii="宋体" w:hAnsi="宋体"/>
                <w:color w:val="000000" w:themeColor="text1"/>
                <w:sz w:val="18"/>
                <w:szCs w:val="18"/>
                <w14:textFill>
                  <w14:solidFill>
                    <w14:schemeClr w14:val="tx1"/>
                  </w14:solidFill>
                </w14:textFill>
              </w:rPr>
            </w:pPr>
            <w:r>
              <w:rPr>
                <w:rFonts w:hint="eastAsia" w:ascii="宋体" w:hAnsi="宋体"/>
                <w:color w:val="000000" w:themeColor="text1"/>
                <w:sz w:val="18"/>
                <w:szCs w:val="18"/>
                <w14:textFill>
                  <w14:solidFill>
                    <w14:schemeClr w14:val="tx1"/>
                  </w14:solidFill>
                </w14:textFill>
              </w:rPr>
              <w:t>7）联合荷载耐受能力</w:t>
            </w:r>
          </w:p>
          <w:p>
            <w:pPr>
              <w:autoSpaceDE w:val="0"/>
              <w:autoSpaceDN w:val="0"/>
              <w:adjustRightInd w:val="0"/>
              <w:spacing w:line="360" w:lineRule="auto"/>
              <w:ind w:firstLine="360" w:firstLineChars="200"/>
              <w:rPr>
                <w:rFonts w:ascii="宋体"/>
                <w:color w:val="000000" w:themeColor="text1"/>
                <w:sz w:val="18"/>
                <w:szCs w:val="18"/>
                <w14:textFill>
                  <w14:solidFill>
                    <w14:schemeClr w14:val="tx1"/>
                  </w14:solidFill>
                </w14:textFill>
              </w:rPr>
            </w:pPr>
            <w:r>
              <w:rPr>
                <w:rFonts w:hint="eastAsia" w:ascii="宋体"/>
                <w:color w:val="000000" w:themeColor="text1"/>
                <w:sz w:val="18"/>
                <w:szCs w:val="18"/>
                <w14:textFill>
                  <w14:solidFill>
                    <w14:schemeClr w14:val="tx1"/>
                  </w14:solidFill>
                </w14:textFill>
              </w:rPr>
              <w:t>互感器应能耐受施加在其上面的连续和短时联合荷载，联合荷载应由其相应荷载分量的向量和来计算。</w:t>
            </w:r>
          </w:p>
          <w:p>
            <w:pPr>
              <w:autoSpaceDE w:val="0"/>
              <w:autoSpaceDN w:val="0"/>
              <w:adjustRightInd w:val="0"/>
              <w:spacing w:line="360" w:lineRule="auto"/>
              <w:ind w:firstLine="360" w:firstLine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a.连续联合荷载</w:t>
            </w:r>
          </w:p>
          <w:p>
            <w:pPr>
              <w:autoSpaceDE w:val="0"/>
              <w:autoSpaceDN w:val="0"/>
              <w:adjustRightInd w:val="0"/>
              <w:spacing w:line="360" w:lineRule="auto"/>
              <w:ind w:firstLine="425"/>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设备长期作用的组合负荷不小于：设备自重</w:t>
            </w:r>
            <w:r>
              <w:rPr>
                <w:rFonts w:ascii="宋体"/>
                <w:color w:val="000000" w:themeColor="text1"/>
                <w:kern w:val="0"/>
                <w:sz w:val="18"/>
                <w:szCs w:val="18"/>
                <w14:textFill>
                  <w14:solidFill>
                    <w14:schemeClr w14:val="tx1"/>
                  </w14:solidFill>
                </w14:textFill>
              </w:rPr>
              <w:t>+</w:t>
            </w:r>
            <w:r>
              <w:rPr>
                <w:rFonts w:hint="eastAsia" w:ascii="宋体"/>
                <w:color w:val="000000" w:themeColor="text1"/>
                <w:kern w:val="0"/>
                <w:sz w:val="18"/>
                <w:szCs w:val="18"/>
                <w14:textFill>
                  <w14:solidFill>
                    <w14:schemeClr w14:val="tx1"/>
                  </w14:solidFill>
                </w14:textFill>
              </w:rPr>
              <w:t>导线水平拉力</w:t>
            </w:r>
            <w:r>
              <w:rPr>
                <w:rFonts w:ascii="宋体"/>
                <w:color w:val="000000" w:themeColor="text1"/>
                <w:kern w:val="0"/>
                <w:sz w:val="18"/>
                <w:szCs w:val="18"/>
                <w14:textFill>
                  <w14:solidFill>
                    <w14:schemeClr w14:val="tx1"/>
                  </w14:solidFill>
                </w14:textFill>
              </w:rPr>
              <w:t>+</w:t>
            </w:r>
            <w:r>
              <w:rPr>
                <w:rFonts w:hint="eastAsia" w:ascii="宋体"/>
                <w:color w:val="000000" w:themeColor="text1"/>
                <w:kern w:val="0"/>
                <w:sz w:val="18"/>
                <w:szCs w:val="18"/>
                <w14:textFill>
                  <w14:solidFill>
                    <w14:schemeClr w14:val="tx1"/>
                  </w14:solidFill>
                </w14:textFill>
              </w:rPr>
              <w:t>设备最大风载。长期作用的组合荷载安全系数不小于</w:t>
            </w:r>
            <w:r>
              <w:rPr>
                <w:rFonts w:ascii="宋体"/>
                <w:color w:val="000000" w:themeColor="text1"/>
                <w:kern w:val="0"/>
                <w:sz w:val="18"/>
                <w:szCs w:val="18"/>
                <w14:textFill>
                  <w14:solidFill>
                    <w14:schemeClr w14:val="tx1"/>
                  </w14:solidFill>
                </w14:textFill>
              </w:rPr>
              <w:t>2.5</w:t>
            </w:r>
            <w:r>
              <w:rPr>
                <w:rFonts w:hint="eastAsia" w:ascii="宋体"/>
                <w:color w:val="000000" w:themeColor="text1"/>
                <w:kern w:val="0"/>
                <w:sz w:val="18"/>
                <w:szCs w:val="18"/>
                <w14:textFill>
                  <w14:solidFill>
                    <w14:schemeClr w14:val="tx1"/>
                  </w14:solidFill>
                </w14:textFill>
              </w:rPr>
              <w:t>。</w:t>
            </w:r>
          </w:p>
          <w:p>
            <w:pPr>
              <w:autoSpaceDE w:val="0"/>
              <w:autoSpaceDN w:val="0"/>
              <w:adjustRightInd w:val="0"/>
              <w:spacing w:line="360" w:lineRule="auto"/>
              <w:ind w:firstLine="360" w:firstLine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b.短时联合荷载</w:t>
            </w:r>
          </w:p>
          <w:p>
            <w:pPr>
              <w:spacing w:line="360" w:lineRule="auto"/>
              <w:ind w:firstLine="360" w:firstLineChars="200"/>
              <w:rPr>
                <w:rFonts w:ascii="宋体" w:hAnsi="宋体"/>
                <w:color w:val="000000" w:themeColor="text1"/>
                <w:sz w:val="18"/>
                <w:szCs w:val="18"/>
                <w14:textFill>
                  <w14:solidFill>
                    <w14:schemeClr w14:val="tx1"/>
                  </w14:solidFill>
                </w14:textFill>
              </w:rPr>
            </w:pPr>
            <w:r>
              <w:rPr>
                <w:rFonts w:hint="eastAsia" w:ascii="宋体"/>
                <w:color w:val="000000" w:themeColor="text1"/>
                <w:sz w:val="18"/>
                <w:szCs w:val="18"/>
                <w14:textFill>
                  <w14:solidFill>
                    <w14:schemeClr w14:val="tx1"/>
                  </w14:solidFill>
                </w14:textFill>
              </w:rPr>
              <w:t>施加在接线板上的纵向水平张力，因地震在设备上引起的动力荷载，设备承受的</w:t>
            </w:r>
            <w:r>
              <w:rPr>
                <w:rFonts w:ascii="宋体"/>
                <w:color w:val="000000" w:themeColor="text1"/>
                <w:sz w:val="18"/>
                <w:szCs w:val="18"/>
                <w14:textFill>
                  <w14:solidFill>
                    <w14:schemeClr w14:val="tx1"/>
                  </w14:solidFill>
                </w14:textFill>
              </w:rPr>
              <w:t>25</w:t>
            </w:r>
            <w:r>
              <w:rPr>
                <w:rFonts w:hint="eastAsia" w:ascii="宋体"/>
                <w:color w:val="000000" w:themeColor="text1"/>
                <w:sz w:val="18"/>
                <w:szCs w:val="18"/>
                <w14:textFill>
                  <w14:solidFill>
                    <w14:schemeClr w14:val="tx1"/>
                  </w14:solidFill>
                </w14:textFill>
              </w:rPr>
              <w:t>％的最大风压和设备的重量。其安全系数不应低于</w:t>
            </w:r>
            <w:r>
              <w:rPr>
                <w:rFonts w:ascii="宋体"/>
                <w:color w:val="000000" w:themeColor="text1"/>
                <w:sz w:val="18"/>
                <w:szCs w:val="18"/>
                <w14:textFill>
                  <w14:solidFill>
                    <w14:schemeClr w14:val="tx1"/>
                  </w14:solidFill>
                </w14:textFill>
              </w:rPr>
              <w:t>1.67</w:t>
            </w:r>
            <w:r>
              <w:rPr>
                <w:rFonts w:hint="eastAsia" w:ascii="宋体"/>
                <w:color w:val="000000" w:themeColor="text1"/>
                <w:sz w:val="18"/>
                <w:szCs w:val="18"/>
                <w14:textFill>
                  <w14:solidFill>
                    <w14:schemeClr w14:val="tx1"/>
                  </w14:solidFill>
                </w14:textFill>
              </w:rPr>
              <w:t>。</w:t>
            </w:r>
          </w:p>
          <w:p>
            <w:pPr>
              <w:autoSpaceDE w:val="0"/>
              <w:autoSpaceDN w:val="0"/>
              <w:adjustRightInd w:val="0"/>
              <w:spacing w:line="360" w:lineRule="auto"/>
              <w:ind w:firstLine="360" w:firstLineChars="200"/>
              <w:jc w:val="left"/>
              <w:rPr>
                <w:rFonts w:ascii="宋体"/>
                <w:color w:val="000000" w:themeColor="text1"/>
                <w:sz w:val="18"/>
                <w:szCs w:val="18"/>
                <w14:textFill>
                  <w14:solidFill>
                    <w14:schemeClr w14:val="tx1"/>
                  </w14:solidFill>
                </w14:textFill>
              </w:rPr>
            </w:pP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5.2.5.2</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二次接线端子及接线盒</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1) 二次接线端子可采用螺杆型或接线排型。</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2）如二次接线端子采用螺杆型，二次接线端子螺杆直径不得小于6mm，应用铜或铜合金制成，并有可靠的防锈层。二次出线端子板防潮性能良好并具有防螺杆旋转措施。接线端子板应为整体浇注型。</w:t>
            </w:r>
          </w:p>
          <w:p>
            <w:pPr>
              <w:widowControl/>
              <w:spacing w:line="360" w:lineRule="auto"/>
              <w:ind w:firstLine="408"/>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3）如二次接线端子采用端子排型，二次接线盒内宜配置有标准接线端子排，便于现场试验接线。</w:t>
            </w:r>
            <w:r>
              <w:rPr>
                <w:rFonts w:hint="eastAsia" w:ascii="宋体" w:hAnsi="宋体" w:cs="宋体"/>
                <w:color w:val="000000" w:themeColor="text1"/>
                <w:kern w:val="0"/>
                <w:sz w:val="18"/>
                <w:szCs w:val="18"/>
                <w14:textFill>
                  <w14:solidFill>
                    <w14:schemeClr w14:val="tx1"/>
                  </w14:solidFill>
                </w14:textFill>
              </w:rPr>
              <w:t>端子编号应编写在布线图里，所有二次回路原理图中都必须标注端子号。端子排应便于更换，且对二次接线端子不造成遮挡。</w:t>
            </w:r>
          </w:p>
          <w:p>
            <w:pPr>
              <w:widowControl/>
              <w:spacing w:line="360" w:lineRule="auto"/>
              <w:ind w:firstLine="408"/>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a.端子排应为在端子与端子之间具有1000V绝缘隔层的模块式结构，每个端子应可以接入截面4mm</w:t>
            </w:r>
            <w:r>
              <w:rPr>
                <w:rFonts w:hint="eastAsia" w:ascii="宋体" w:hAnsi="宋体" w:cs="宋体"/>
                <w:color w:val="000000" w:themeColor="text1"/>
                <w:kern w:val="0"/>
                <w:sz w:val="18"/>
                <w:szCs w:val="18"/>
                <w:vertAlign w:val="superscript"/>
                <w14:textFill>
                  <w14:solidFill>
                    <w14:schemeClr w14:val="tx1"/>
                  </w14:solidFill>
                </w14:textFill>
              </w:rPr>
              <w:t>2</w:t>
            </w:r>
            <w:r>
              <w:rPr>
                <w:rFonts w:hint="eastAsia" w:ascii="宋体" w:hAnsi="宋体" w:cs="宋体"/>
                <w:color w:val="000000" w:themeColor="text1"/>
                <w:kern w:val="0"/>
                <w:sz w:val="18"/>
                <w:szCs w:val="18"/>
                <w14:textFill>
                  <w14:solidFill>
                    <w14:schemeClr w14:val="tx1"/>
                  </w14:solidFill>
                </w14:textFill>
              </w:rPr>
              <w:t>的电缆芯。每个端子应有对应的标记片。在同一个端子上, 不应与两根以上引接线连接。</w:t>
            </w:r>
          </w:p>
          <w:p>
            <w:pPr>
              <w:widowControl/>
              <w:spacing w:line="360" w:lineRule="auto"/>
              <w:ind w:firstLine="408"/>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b.互感器的二次回路应全部由接线端子引接至端子排，引线截面至少为4mm</w:t>
            </w:r>
            <w:r>
              <w:rPr>
                <w:rFonts w:hint="eastAsia" w:ascii="宋体" w:hAnsi="宋体" w:cs="宋体"/>
                <w:color w:val="000000" w:themeColor="text1"/>
                <w:kern w:val="0"/>
                <w:sz w:val="18"/>
                <w:szCs w:val="18"/>
                <w:vertAlign w:val="superscript"/>
                <w14:textFill>
                  <w14:solidFill>
                    <w14:schemeClr w14:val="tx1"/>
                  </w14:solidFill>
                </w14:textFill>
              </w:rPr>
              <w:t>2</w:t>
            </w:r>
            <w:r>
              <w:rPr>
                <w:rFonts w:hint="eastAsia" w:ascii="宋体" w:hAnsi="宋体" w:cs="宋体"/>
                <w:color w:val="000000" w:themeColor="text1"/>
                <w:kern w:val="0"/>
                <w:sz w:val="18"/>
                <w:szCs w:val="18"/>
                <w14:textFill>
                  <w14:solidFill>
                    <w14:schemeClr w14:val="tx1"/>
                  </w14:solidFill>
                </w14:textFill>
              </w:rPr>
              <w:t>。</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4)二次接线盒应便于外部电缆的引入，其开孔应能接入外径为45mm 的电缆，配密封电缆护套，并有足够的空间。</w:t>
            </w:r>
          </w:p>
          <w:p>
            <w:pPr>
              <w:widowControl/>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5)二次接线盒内的所有接线端子、端子排和导线, 应能耐受70℃高温。</w:t>
            </w:r>
          </w:p>
          <w:p>
            <w:pPr>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6)二次接线盒应为表面经防腐处理的金属材料，接线盒应防腐蚀防潮和阻燃，防护等级IP55。所有端子及紧固件应有良好的防锈镀层，足够的机械强度和保持良好的接触面。</w:t>
            </w:r>
          </w:p>
          <w:p>
            <w:pPr>
              <w:spacing w:line="360" w:lineRule="auto"/>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7）二次接线盒上方宜加装防雨罩。</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5.2.6</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设备接地要求</w:t>
            </w:r>
          </w:p>
          <w:p>
            <w:pPr>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每相电压互感器应配备两处直径不小于8mm的接地螺栓，或其他供接地线连接用的零件。且接地连接处应有平整的金属表面，且应有可靠的防锈镀层，或采用不锈钢材料制成。附近标有明显的接地符号“</w:t>
            </w:r>
            <w:r>
              <w:rPr>
                <w:rFonts w:hint="eastAsia" w:ascii="宋体" w:hAnsi="宋体" w:cs="宋体"/>
                <w:b/>
                <w:color w:val="000000" w:themeColor="text1"/>
                <w:sz w:val="18"/>
                <w:szCs w:val="18"/>
                <w14:textFill>
                  <w14:solidFill>
                    <w14:schemeClr w14:val="tx1"/>
                  </w14:solidFill>
                </w14:textFill>
              </w:rPr>
              <w:fldChar w:fldCharType="begin"/>
            </w:r>
            <w:r>
              <w:rPr>
                <w:rFonts w:hint="eastAsia" w:ascii="宋体" w:hAnsi="宋体" w:cs="宋体"/>
                <w:b/>
                <w:color w:val="000000" w:themeColor="text1"/>
                <w:sz w:val="18"/>
                <w:szCs w:val="18"/>
                <w14:textFill>
                  <w14:solidFill>
                    <w14:schemeClr w14:val="tx1"/>
                  </w14:solidFill>
                </w14:textFill>
              </w:rPr>
              <w:instrText xml:space="preserve"> eq \o(\s\do-4(⊥),\s\do 5(＝))</w:instrText>
            </w:r>
            <w:r>
              <w:rPr>
                <w:rFonts w:hint="eastAsia" w:ascii="宋体" w:hAnsi="宋体" w:cs="宋体"/>
                <w:color w:val="000000" w:themeColor="text1"/>
                <w:sz w:val="18"/>
                <w:szCs w:val="18"/>
                <w14:textFill>
                  <w14:solidFill>
                    <w14:schemeClr w14:val="tx1"/>
                  </w14:solidFill>
                </w14:textFill>
              </w:rPr>
              <w:fldChar w:fldCharType="end"/>
            </w:r>
            <w:r>
              <w:rPr>
                <w:rFonts w:hint="eastAsia" w:ascii="宋体" w:hAnsi="宋体" w:cs="宋体"/>
                <w:color w:val="000000" w:themeColor="text1"/>
                <w:sz w:val="18"/>
                <w:szCs w:val="18"/>
                <w14:textFill>
                  <w14:solidFill>
                    <w14:schemeClr w14:val="tx1"/>
                  </w14:solidFill>
                </w14:textFill>
              </w:rPr>
              <w:t>”或“接地”字样。</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选型</w:t>
            </w:r>
            <w:r>
              <w:rPr>
                <w:color w:val="000000" w:themeColor="text1"/>
                <w:sz w:val="18"/>
                <w:szCs w:val="18"/>
                <w14:textFill>
                  <w14:solidFill>
                    <w14:schemeClr w14:val="tx1"/>
                  </w14:solidFill>
                </w14:textFill>
              </w:rPr>
              <w:t>报告</w:t>
            </w: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5.2.7</w:t>
            </w:r>
          </w:p>
        </w:tc>
        <w:tc>
          <w:tcPr>
            <w:tcW w:w="6234" w:type="dxa"/>
            <w:vAlign w:val="center"/>
          </w:tcPr>
          <w:p>
            <w:pPr>
              <w:widowControl/>
              <w:spacing w:line="360" w:lineRule="auto"/>
              <w:rPr>
                <w:color w:val="000000" w:themeColor="text1"/>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组装</w:t>
            </w:r>
            <w:r>
              <w:rPr>
                <w:rFonts w:hint="eastAsia"/>
                <w:color w:val="000000" w:themeColor="text1"/>
                <w:sz w:val="18"/>
                <w:szCs w:val="18"/>
                <w14:textFill>
                  <w14:solidFill>
                    <w14:schemeClr w14:val="tx1"/>
                  </w14:solidFill>
                </w14:textFill>
              </w:rPr>
              <w:t>要求</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设备应在车间内进行组装，并</w:t>
            </w:r>
            <w:r>
              <w:rPr>
                <w:rFonts w:hint="eastAsia" w:ascii="宋体" w:hAnsi="宋体" w:cs="宋体"/>
                <w:color w:val="000000" w:themeColor="text1"/>
                <w:sz w:val="18"/>
                <w:szCs w:val="18"/>
                <w14:textFill>
                  <w14:solidFill>
                    <w14:schemeClr w14:val="tx1"/>
                  </w14:solidFill>
                </w14:textFill>
              </w:rPr>
              <w:t>由供应商按照标准和招标方提出的要求进行试验。</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对所有拆卸部件应作出适当的配合标记和设定位销以保证在工地组装无误。</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选型</w:t>
            </w:r>
            <w:r>
              <w:rPr>
                <w:color w:val="000000" w:themeColor="text1"/>
                <w:sz w:val="18"/>
                <w:szCs w:val="18"/>
                <w14:textFill>
                  <w14:solidFill>
                    <w14:schemeClr w14:val="tx1"/>
                  </w14:solidFill>
                </w14:textFill>
              </w:rPr>
              <w:t>报告</w:t>
            </w: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5.2.8</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铸件要求</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铸件要符合模型、外形工整、质量均匀、形态一致，并无气孔砂眼、夹渣、缩孔、裂纹和其他缺陷。</w:t>
            </w:r>
          </w:p>
          <w:p>
            <w:pPr>
              <w:adjustRightInd w:val="0"/>
              <w:snapToGrid w:val="0"/>
              <w:spacing w:line="360" w:lineRule="auto"/>
              <w:ind w:firstLine="360" w:firstLineChars="200"/>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铸件上的重大缺陷未经招标方同意，不得进行修理、填堵和施焊。在铸件关键部位出现过量的杂质或合金分凝即应予报废，在变换截面的地方应配置构造上容许的最大限度的加强筋。</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关键原材料及组部件型号</w:t>
            </w:r>
            <w:r>
              <w:rPr>
                <w:color w:val="000000" w:themeColor="text1"/>
                <w:sz w:val="18"/>
                <w:szCs w:val="18"/>
                <w14:textFill>
                  <w14:solidFill>
                    <w14:schemeClr w14:val="tx1"/>
                  </w14:solidFill>
                </w14:textFill>
              </w:rPr>
              <w:t>及</w:t>
            </w:r>
            <w:r>
              <w:rPr>
                <w:rFonts w:hint="eastAsia"/>
                <w:color w:val="000000" w:themeColor="text1"/>
                <w:sz w:val="18"/>
                <w:szCs w:val="18"/>
                <w14:textFill>
                  <w14:solidFill>
                    <w14:schemeClr w14:val="tx1"/>
                  </w14:solidFill>
                </w14:textFill>
              </w:rPr>
              <w:t>供应商列表、文件编号、文件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5.2.4</w:t>
            </w:r>
            <w:r>
              <w:rPr>
                <w:color w:val="000000" w:themeColor="text1"/>
                <w:sz w:val="18"/>
                <w:szCs w:val="18"/>
                <w14:textFill>
                  <w14:solidFill>
                    <w14:schemeClr w14:val="tx1"/>
                  </w14:solidFill>
                </w14:textFill>
              </w:rPr>
              <w:t>.7</w:t>
            </w:r>
          </w:p>
        </w:tc>
        <w:tc>
          <w:tcPr>
            <w:tcW w:w="6234" w:type="dxa"/>
            <w:vAlign w:val="center"/>
          </w:tcPr>
          <w:p>
            <w:pPr>
              <w:widowControl/>
              <w:spacing w:line="360" w:lineRule="auto"/>
              <w:rPr>
                <w:rFonts w:ascii="黑体" w:hAnsi="宋体" w:eastAsia="黑体"/>
                <w:color w:val="000000" w:themeColor="text1"/>
                <w:kern w:val="0"/>
                <w:sz w:val="18"/>
                <w:szCs w:val="18"/>
                <w14:textFill>
                  <w14:solidFill>
                    <w14:schemeClr w14:val="tx1"/>
                  </w14:solidFill>
                </w14:textFill>
              </w:rPr>
            </w:pPr>
            <w:r>
              <w:rPr>
                <w:rFonts w:hint="eastAsia" w:ascii="黑体" w:hAnsi="宋体" w:eastAsia="黑体"/>
                <w:color w:val="000000" w:themeColor="text1"/>
                <w:kern w:val="0"/>
                <w:sz w:val="18"/>
                <w:szCs w:val="18"/>
                <w14:textFill>
                  <w14:solidFill>
                    <w14:schemeClr w14:val="tx1"/>
                  </w14:solidFill>
                </w14:textFill>
              </w:rPr>
              <w:t>焊接要求</w:t>
            </w:r>
            <w:r>
              <w:rPr>
                <w:rFonts w:ascii="黑体" w:hAnsi="宋体" w:eastAsia="黑体"/>
                <w:color w:val="000000" w:themeColor="text1"/>
                <w:kern w:val="0"/>
                <w:sz w:val="18"/>
                <w:szCs w:val="18"/>
                <w14:textFill>
                  <w14:solidFill>
                    <w14:schemeClr w14:val="tx1"/>
                  </w14:solidFill>
                </w14:textFill>
              </w:rPr>
              <w:t xml:space="preserve"> </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焊接要遵照美国焊接学会（</w:t>
            </w:r>
            <w:r>
              <w:rPr>
                <w:color w:val="000000" w:themeColor="text1"/>
                <w:sz w:val="18"/>
                <w:szCs w:val="18"/>
                <w14:textFill>
                  <w14:solidFill>
                    <w14:schemeClr w14:val="tx1"/>
                  </w14:solidFill>
                </w14:textFill>
              </w:rPr>
              <w:t>AWS</w:t>
            </w:r>
            <w:r>
              <w:rPr>
                <w:rFonts w:hint="eastAsia"/>
                <w:color w:val="000000" w:themeColor="text1"/>
                <w:sz w:val="18"/>
                <w:szCs w:val="18"/>
                <w14:textFill>
                  <w14:solidFill>
                    <w14:schemeClr w14:val="tx1"/>
                  </w14:solidFill>
                </w14:textFill>
              </w:rPr>
              <w:t>）或其他国家使用的并得到公认的专业标准采用一种焊接工作程序，所有焊工和焊机操作员按照所用标准应是完全合格的。</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对于焊缝内的缺陷要凿除至完好金属部分，以保证在补焊前缺陷已被全部清除。对油箱全部焊缝应进行正压试漏检查。所有密封焊缝应使用着色或荧光进行试漏。采用焊接的金属板应按尺寸准确切割并卷压到规定的曲率，其端部应具有相同的曲率，不允许敲打以修整端部曲率。焊接坡口的尺寸和形状应能达到完全熔透。为适应不同焊接条件，各种坡口应具有相适应的形式。邻近焊接边缘的板面应彻底清除所有锈垢、油脂，直到露出金属光泽。</w:t>
            </w:r>
          </w:p>
          <w:p>
            <w:pPr>
              <w:widowControl/>
              <w:spacing w:line="360" w:lineRule="auto"/>
              <w:rPr>
                <w:rFonts w:ascii="黑体" w:hAnsi="宋体" w:eastAsia="黑体"/>
                <w:color w:val="000000" w:themeColor="text1"/>
                <w:kern w:val="0"/>
                <w:sz w:val="18"/>
                <w:szCs w:val="18"/>
                <w14:textFill>
                  <w14:solidFill>
                    <w14:schemeClr w14:val="tx1"/>
                  </w14:solidFill>
                </w14:textFill>
              </w:rPr>
            </w:pPr>
            <w:r>
              <w:rPr>
                <w:rFonts w:hint="eastAsia" w:ascii="黑体" w:hAnsi="宋体" w:eastAsia="黑体"/>
                <w:color w:val="000000" w:themeColor="text1"/>
                <w:kern w:val="0"/>
                <w:sz w:val="18"/>
                <w:szCs w:val="18"/>
                <w14:textFill>
                  <w14:solidFill>
                    <w14:schemeClr w14:val="tx1"/>
                  </w14:solidFill>
                </w14:textFill>
              </w:rPr>
              <w:t>油漆与防锈的要求</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）按本条件书提供的任何设备，除不锈钢、铸铝外，所有的金属外露部分均应作表面的防锈处理。</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）表面处理干净后应即喷涂一层防锈底漆。所使用的底漆和光漆的材料与型号，可根据制造厂的标准。光漆应与底漆协调，并具备优良的的耐用性。</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3）底漆与光漆生成干燥漆膜的厚度≥0.125m</w:t>
            </w:r>
            <w:r>
              <w:rPr>
                <w:color w:val="000000" w:themeColor="text1"/>
                <w:sz w:val="18"/>
                <w:szCs w:val="18"/>
                <w14:textFill>
                  <w14:solidFill>
                    <w14:schemeClr w14:val="tx1"/>
                  </w14:solidFill>
                </w14:textFill>
              </w:rPr>
              <w:t>m</w:t>
            </w:r>
            <w:r>
              <w:rPr>
                <w:rFonts w:hint="eastAsia"/>
                <w:color w:val="000000" w:themeColor="text1"/>
                <w:sz w:val="18"/>
                <w:szCs w:val="18"/>
                <w14:textFill>
                  <w14:solidFill>
                    <w14:schemeClr w14:val="tx1"/>
                  </w14:solidFill>
                </w14:textFill>
              </w:rPr>
              <w:t>，并且有足够的弹性。油漆应持久耐用，能适应户外多种因素的影响，如抗御热带强烈阳光辐射及承受夏天骤雨所引起的急剧温度变化，抗剥落，并保持颜色新颖。</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所有外表面的光漆应为B03浅灰漆。</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4）供应商应提供油漆的使用、清理过程及涂刷细节，以便在作业开始前由招标方认可。</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5）油箱的内表面应涂以高光彩的浅色油漆，该油漆与绝缘油不致发生作用,对绝缘油也应没有影响。</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6）供应商所使用的油漆必须具备足够的附着力，新喷涂油漆必须满足GB/T 9286 1级及以下的破坏程度。</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w:t>
            </w:r>
          </w:p>
        </w:tc>
        <w:tc>
          <w:tcPr>
            <w:tcW w:w="6234" w:type="dxa"/>
            <w:vAlign w:val="center"/>
          </w:tcPr>
          <w:p>
            <w:pPr>
              <w:keepNext/>
              <w:keepLines/>
              <w:numPr>
                <w:ilvl w:val="0"/>
                <w:numId w:val="1"/>
              </w:numPr>
              <w:tabs>
                <w:tab w:val="left" w:pos="1276"/>
                <w:tab w:val="clear" w:pos="425"/>
              </w:tabs>
              <w:topLinePunct/>
              <w:spacing w:line="360" w:lineRule="auto"/>
              <w:outlineLvl w:val="1"/>
              <w:rPr>
                <w:rFonts w:eastAsia="黑体"/>
                <w:bCs/>
                <w:color w:val="000000" w:themeColor="text1"/>
                <w:sz w:val="18"/>
                <w:szCs w:val="18"/>
                <w14:textFill>
                  <w14:solidFill>
                    <w14:schemeClr w14:val="tx1"/>
                  </w14:solidFill>
                </w14:textFill>
              </w:rPr>
            </w:pPr>
            <w:bookmarkStart w:id="236" w:name="_Toc22390029"/>
            <w:r>
              <w:rPr>
                <w:rFonts w:hint="eastAsia" w:eastAsia="黑体"/>
                <w:bCs/>
                <w:color w:val="000000" w:themeColor="text1"/>
                <w:szCs w:val="21"/>
                <w14:textFill>
                  <w14:solidFill>
                    <w14:schemeClr w14:val="tx1"/>
                  </w14:solidFill>
                </w14:textFill>
              </w:rPr>
              <w:t>制造工艺要求</w:t>
            </w:r>
            <w:bookmarkEnd w:id="236"/>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5.3.1</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电磁单元油箱加工</w:t>
            </w:r>
          </w:p>
          <w:p>
            <w:pPr>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本条款适用于油浸式电磁单元，干式电磁单元不适用此条款。</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1）所有法兰密封面、密封槽应经机加工，所有法兰密封面加工面光洁度应达25，密封槽加工面光洁度6.3。密封面处理后平整度凸点高/凹点深：</w:t>
            </w:r>
            <w:r>
              <w:rPr>
                <w:color w:val="000000" w:themeColor="text1"/>
                <w:sz w:val="18"/>
                <w:szCs w:val="18"/>
                <w14:textFill>
                  <w14:solidFill>
                    <w14:schemeClr w14:val="tx1"/>
                  </w14:solidFill>
                </w14:textFill>
              </w:rPr>
              <w:t>0.4/0.7mm</w:t>
            </w:r>
            <w:r>
              <w:rPr>
                <w:rFonts w:hint="eastAsia"/>
                <w:color w:val="000000" w:themeColor="text1"/>
                <w:sz w:val="18"/>
                <w:szCs w:val="18"/>
                <w14:textFill>
                  <w14:solidFill>
                    <w14:schemeClr w14:val="tx1"/>
                  </w14:solidFill>
                </w14:textFill>
              </w:rPr>
              <w:t>，无划痕损伤。</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2）油箱内部金属件尖角棱边应全部加工、打磨为光滑圆角以改善电场。并磨平油箱内壁可能的尖角毛刺、焊瘤和飞溅物，确保内壁光洁。</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3）油箱箱沿密封面平整度保证在≤1‰。</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4）法兰焊后密封面的平整度，当法兰直径＜50mm时应≤2‰；法兰直径≥50mm时应≤3‰。</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5）钢板对接焊时，应按照GB/T 985.1的要求打坡口进行焊接。</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6）焊缝应无气孔、夹渣、裂纹、咬边等焊接缺陷，焊缝不允许有渗漏。</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7）为保证</w:t>
            </w:r>
            <w:r>
              <w:rPr>
                <w:rFonts w:hint="eastAsia" w:ascii="宋体" w:hAnsi="宋体" w:cs="宋体"/>
                <w:color w:val="000000" w:themeColor="text1"/>
                <w:kern w:val="0"/>
                <w:sz w:val="18"/>
                <w:szCs w:val="18"/>
                <w14:textFill>
                  <w14:solidFill>
                    <w14:schemeClr w14:val="tx1"/>
                  </w14:solidFill>
                </w14:textFill>
              </w:rPr>
              <w:t>油箱的密封性能，应至少在以下环节进行试漏，</w:t>
            </w:r>
            <w:r>
              <w:rPr>
                <w:rFonts w:hint="eastAsia"/>
                <w:color w:val="000000" w:themeColor="text1"/>
                <w:sz w:val="18"/>
                <w:szCs w:val="18"/>
                <w14:textFill>
                  <w14:solidFill>
                    <w14:schemeClr w14:val="tx1"/>
                  </w14:solidFill>
                </w14:textFill>
              </w:rPr>
              <w:t>油箱试漏压力应与现场运行时油箱所承受的压力相匹配。</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a)油箱焊接后进行压力试漏，检漏压力不低于0.2MPa。</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ascii="宋体" w:hAnsi="宋体" w:cs="宋体"/>
                <w:color w:val="000000" w:themeColor="text1"/>
                <w:kern w:val="0"/>
                <w:sz w:val="18"/>
                <w:szCs w:val="18"/>
                <w14:textFill>
                  <w14:solidFill>
                    <w14:schemeClr w14:val="tx1"/>
                  </w14:solidFill>
                </w14:textFill>
              </w:rPr>
              <w:t>b)电磁单元在脱气充氮工艺中进行真空检漏。</w:t>
            </w:r>
          </w:p>
          <w:p>
            <w:pPr>
              <w:spacing w:line="360" w:lineRule="auto"/>
              <w:ind w:firstLine="360" w:firstLineChars="200"/>
              <w:rPr>
                <w:color w:val="000000" w:themeColor="text1"/>
                <w:sz w:val="18"/>
                <w:szCs w:val="18"/>
                <w14:textFill>
                  <w14:solidFill>
                    <w14:schemeClr w14:val="tx1"/>
                  </w14:solidFill>
                </w14:textFill>
              </w:rPr>
            </w:pPr>
            <w:r>
              <w:rPr>
                <w:rFonts w:ascii="宋体" w:hAnsi="宋体" w:cs="宋体"/>
                <w:color w:val="000000" w:themeColor="text1"/>
                <w:kern w:val="0"/>
                <w:sz w:val="18"/>
                <w:szCs w:val="18"/>
                <w14:textFill>
                  <w14:solidFill>
                    <w14:schemeClr w14:val="tx1"/>
                  </w14:solidFill>
                </w14:textFill>
              </w:rPr>
              <w:t>c)产品涂漆前热烘试漏及涂漆后的烘干检漏。</w:t>
            </w:r>
          </w:p>
          <w:p>
            <w:pPr>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8</w:t>
            </w:r>
            <w:r>
              <w:rPr>
                <w:rFonts w:hint="eastAsia"/>
                <w:color w:val="000000" w:themeColor="text1"/>
                <w:sz w:val="18"/>
                <w:szCs w:val="18"/>
                <w14:textFill>
                  <w14:solidFill>
                    <w14:schemeClr w14:val="tx1"/>
                  </w14:solidFill>
                </w14:textFill>
              </w:rPr>
              <w:t>）油箱及附件环境腐蚀级别按照</w:t>
            </w:r>
            <w:r>
              <w:rPr>
                <w:color w:val="000000" w:themeColor="text1"/>
                <w:sz w:val="18"/>
                <w:szCs w:val="18"/>
                <w14:textFill>
                  <w14:solidFill>
                    <w14:schemeClr w14:val="tx1"/>
                  </w14:solidFill>
                </w14:textFill>
              </w:rPr>
              <w:t>C4</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ISO12944.2</w:t>
            </w:r>
            <w:r>
              <w:rPr>
                <w:rFonts w:hint="eastAsia"/>
                <w:color w:val="000000" w:themeColor="text1"/>
                <w:sz w:val="18"/>
                <w:szCs w:val="18"/>
                <w14:textFill>
                  <w14:solidFill>
                    <w14:schemeClr w14:val="tx1"/>
                  </w14:solidFill>
                </w14:textFill>
              </w:rPr>
              <w:t>表</w:t>
            </w: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）执行，油漆的耐久性应为</w:t>
            </w:r>
            <w:r>
              <w:rPr>
                <w:color w:val="000000" w:themeColor="text1"/>
                <w:sz w:val="18"/>
                <w:szCs w:val="18"/>
                <w14:textFill>
                  <w14:solidFill>
                    <w14:schemeClr w14:val="tx1"/>
                  </w14:solidFill>
                </w14:textFill>
              </w:rPr>
              <w:t>15</w:t>
            </w:r>
            <w:r>
              <w:rPr>
                <w:rFonts w:hint="eastAsia"/>
                <w:color w:val="000000" w:themeColor="text1"/>
                <w:sz w:val="18"/>
                <w:szCs w:val="18"/>
                <w14:textFill>
                  <w14:solidFill>
                    <w14:schemeClr w14:val="tx1"/>
                  </w14:solidFill>
                </w14:textFill>
              </w:rPr>
              <w:t>年以上。油漆附着力</w:t>
            </w:r>
            <w:r>
              <w:rPr>
                <w:color w:val="000000" w:themeColor="text1"/>
                <w:sz w:val="18"/>
                <w:szCs w:val="18"/>
                <w14:textFill>
                  <w14:solidFill>
                    <w14:schemeClr w14:val="tx1"/>
                  </w14:solidFill>
                </w14:textFill>
              </w:rPr>
              <w:t>ISO</w:t>
            </w:r>
            <w:r>
              <w:rPr>
                <w:rFonts w:hint="eastAsia"/>
                <w:color w:val="000000" w:themeColor="text1"/>
                <w:sz w:val="18"/>
                <w:szCs w:val="18"/>
                <w14:textFill>
                  <w14:solidFill>
                    <w14:schemeClr w14:val="tx1"/>
                  </w14:solidFill>
                </w14:textFill>
              </w:rPr>
              <w:t>等级：</w:t>
            </w: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，制造厂应提供检测报告。</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5.3.2</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电容器元件卷制及心子压装、浸渍和装配</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1）电容器元件卷制及心子压装、装配应在净化室内进行。净化车间温度保持15~25℃，相对湿度：45%~55%，洁净度优于6级，要求每立方米空气中直径大于0.5μm的尘埃数不超过35粒。</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r>
              <w:rPr>
                <w:rFonts w:hint="eastAsia" w:ascii="宋体" w:hAnsi="宋体"/>
                <w:color w:val="000000" w:themeColor="text1"/>
                <w:sz w:val="18"/>
                <w:szCs w:val="18"/>
                <w14:textFill>
                  <w14:solidFill>
                    <w14:schemeClr w14:val="tx1"/>
                  </w14:solidFill>
                </w14:textFill>
              </w:rPr>
              <w:t>薄膜、铝箔、电容器纸至少要求在净化间内</w:t>
            </w:r>
            <w:r>
              <w:rPr>
                <w:rFonts w:hint="eastAsia" w:ascii="宋体" w:hAnsi="宋体" w:cs="宋体"/>
                <w:color w:val="000000" w:themeColor="text1"/>
                <w:kern w:val="0"/>
                <w:sz w:val="18"/>
                <w:szCs w:val="18"/>
                <w14:textFill>
                  <w14:solidFill>
                    <w14:schemeClr w14:val="tx1"/>
                  </w14:solidFill>
                </w14:textFill>
              </w:rPr>
              <w:t>贮存</w:t>
            </w:r>
            <w:r>
              <w:rPr>
                <w:rFonts w:hint="eastAsia" w:ascii="宋体" w:hAnsi="宋体"/>
                <w:color w:val="000000" w:themeColor="text1"/>
                <w:sz w:val="18"/>
                <w:szCs w:val="18"/>
                <w14:textFill>
                  <w14:solidFill>
                    <w14:schemeClr w14:val="tx1"/>
                  </w14:solidFill>
                </w14:textFill>
              </w:rPr>
              <w:t>24h以上方能卷制，以避免因材料的温湿度差异造成元件卷制时产生</w:t>
            </w:r>
            <w:r>
              <w:rPr>
                <w:rFonts w:ascii="宋体" w:hAnsi="宋体"/>
                <w:color w:val="000000" w:themeColor="text1"/>
                <w:sz w:val="18"/>
                <w:szCs w:val="18"/>
                <w14:textFill>
                  <w14:solidFill>
                    <w14:schemeClr w14:val="tx1"/>
                  </w14:solidFill>
                </w14:textFill>
              </w:rPr>
              <w:t>褶皱</w:t>
            </w:r>
            <w:r>
              <w:rPr>
                <w:rFonts w:hint="eastAsia" w:ascii="宋体" w:hAnsi="宋体"/>
                <w:color w:val="000000" w:themeColor="text1"/>
                <w:sz w:val="18"/>
                <w:szCs w:val="18"/>
                <w14:textFill>
                  <w14:solidFill>
                    <w14:schemeClr w14:val="tx1"/>
                  </w14:solidFill>
                </w14:textFill>
              </w:rPr>
              <w:t>。</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3）电容器元件应采用带张力控制的卷绕机卷制。卷绕机应精心调整，保证元件平整，压制后卷内无波浪形，无死褶。</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4）电容器元件卷绕机薄膜料轴附近宜加装静电消除器，以消除静电。</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5）电容器心子压装应整齐一致，压紧系数控制在设计范围内。</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6）电容器心子经</w:t>
            </w:r>
            <w:r>
              <w:rPr>
                <w:rFonts w:hint="eastAsia" w:ascii="宋体" w:hAnsi="宋体" w:cs="宋体"/>
                <w:color w:val="000000" w:themeColor="text1"/>
                <w:kern w:val="0"/>
                <w:sz w:val="18"/>
                <w:szCs w:val="18"/>
                <w14:textFill>
                  <w14:solidFill>
                    <w14:schemeClr w14:val="tx1"/>
                  </w14:solidFill>
                </w14:textFill>
              </w:rPr>
              <w:t>真空干燥处理后注油，真空度＜1Pa保持24h，宜采用单抽单注形式。</w:t>
            </w:r>
          </w:p>
          <w:p>
            <w:pPr>
              <w:spacing w:line="360" w:lineRule="auto"/>
              <w:ind w:left="360"/>
              <w:rPr>
                <w:rFonts w:ascii="宋体" w:hAnsi="宋体" w:cs="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7）电容器心子浸渍应在适宜的温度下进行</w:t>
            </w:r>
            <w:r>
              <w:rPr>
                <w:rFonts w:hint="eastAsia" w:ascii="宋体" w:hAnsi="宋体" w:cs="宋体"/>
                <w:color w:val="000000" w:themeColor="text1"/>
                <w:kern w:val="0"/>
                <w:sz w:val="18"/>
                <w:szCs w:val="18"/>
                <w14:textFill>
                  <w14:solidFill>
                    <w14:schemeClr w14:val="tx1"/>
                  </w14:solidFill>
                </w14:textFill>
              </w:rPr>
              <w:t>，避免高温浸渍时导致薄膜发生收缩变形，引起元件内部褶皱。</w:t>
            </w:r>
          </w:p>
          <w:p>
            <w:pPr>
              <w:spacing w:line="360" w:lineRule="auto"/>
              <w:ind w:left="36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8）引线片边缘应进行电场均匀化处理，宜在卷绕过程中卷入引线片，避免二次插入造成的人为损坏。</w:t>
            </w:r>
          </w:p>
          <w:p>
            <w:pPr>
              <w:spacing w:line="360" w:lineRule="auto"/>
              <w:ind w:left="36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9）装配过程中合理控制密封圈压缩比，并确保密封胶圈处于限位槽位置，表面无损伤。</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5.3.3</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电磁单元加工</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1）加工车间整洁干净，</w:t>
            </w:r>
            <w:r>
              <w:rPr>
                <w:rFonts w:hint="eastAsia"/>
                <w:color w:val="000000" w:themeColor="text1"/>
                <w:sz w:val="18"/>
                <w:szCs w:val="18"/>
                <w14:textFill>
                  <w14:solidFill>
                    <w14:schemeClr w14:val="tx1"/>
                  </w14:solidFill>
                </w14:textFill>
              </w:rPr>
              <w:t>环境温度8-32℃，湿度≤70%。</w:t>
            </w:r>
          </w:p>
          <w:p>
            <w:pPr>
              <w:spacing w:line="360" w:lineRule="auto"/>
              <w:ind w:firstLine="360" w:firstLineChars="200"/>
              <w:rPr>
                <w:color w:val="000000" w:themeColor="text1"/>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2）中间变压器</w:t>
            </w:r>
            <w:r>
              <w:rPr>
                <w:rFonts w:hint="eastAsia"/>
                <w:color w:val="000000" w:themeColor="text1"/>
                <w:sz w:val="18"/>
                <w:szCs w:val="18"/>
                <w14:textFill>
                  <w14:solidFill>
                    <w14:schemeClr w14:val="tx1"/>
                  </w14:solidFill>
                </w14:textFill>
              </w:rPr>
              <w:t>硅钢片剪切毛刺控制在0.02mm以下，对接接缝小于2mm，叠装完成后采用环氧玻璃丝带或聚酯带进行绑扎。</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3）中间变压器线圈绕制采用带导线拉紧装置的绕线机进行，导线接头处强度不低于原导线强度，均应采取电场均匀化处理，导线绝缘包扎紧实、厚度均匀，表面处理光滑、无尖角毛刺。</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r>
              <w:rPr>
                <w:rFonts w:hint="eastAsia" w:ascii="宋体" w:hAnsi="宋体" w:cs="宋体"/>
                <w:color w:val="000000" w:themeColor="text1"/>
                <w:kern w:val="0"/>
                <w:sz w:val="18"/>
                <w:szCs w:val="18"/>
                <w14:textFill>
                  <w14:solidFill>
                    <w14:schemeClr w14:val="tx1"/>
                  </w14:solidFill>
                </w14:textFill>
              </w:rPr>
              <w:t>中间变压器真空干燥处理后注油。产品所注油的绝缘油在注油前会进行脱水、脱气处理，注入油应满足介质损耗因数≤0.1%，微水≤15ppm，耐压≥60kV，并通过真空方式（40℃、30Pa）注入产品内部。</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5）电磁单元与电容分压器中压引线连接线应采取控制措施，保证不与低压部件触碰。</w:t>
            </w:r>
          </w:p>
          <w:p>
            <w:pPr>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6）电磁单元油箱内应充氮，使电磁单元油箱顶层空间内充满氮气，确保绝缘油耐氧化性。</w:t>
            </w:r>
          </w:p>
          <w:p>
            <w:pPr>
              <w:spacing w:line="360" w:lineRule="auto"/>
              <w:ind w:firstLine="360" w:firstLineChars="200"/>
              <w:rPr>
                <w:color w:val="000000" w:themeColor="text1"/>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7）产品在装配过程中，密封胶圈安装好后严格按照产品密封要求进行力矩紧固，紧固好后对密封螺栓进行标识确认。</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相应要求的满足情况</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6</w:t>
            </w:r>
          </w:p>
        </w:tc>
        <w:tc>
          <w:tcPr>
            <w:tcW w:w="6234" w:type="dxa"/>
            <w:vAlign w:val="center"/>
          </w:tcPr>
          <w:p>
            <w:pPr>
              <w:keepNext/>
              <w:keepLines/>
              <w:numPr>
                <w:ilvl w:val="0"/>
                <w:numId w:val="1"/>
              </w:numPr>
              <w:tabs>
                <w:tab w:val="left" w:pos="1276"/>
                <w:tab w:val="clear" w:pos="425"/>
              </w:tabs>
              <w:topLinePunct/>
              <w:outlineLvl w:val="1"/>
              <w:rPr>
                <w:rFonts w:ascii="宋体" w:hAnsi="宋体" w:cs="宋体"/>
                <w:bCs/>
                <w:color w:val="000000" w:themeColor="text1"/>
                <w:sz w:val="18"/>
                <w:szCs w:val="18"/>
                <w14:textFill>
                  <w14:solidFill>
                    <w14:schemeClr w14:val="tx1"/>
                  </w14:solidFill>
                </w14:textFill>
              </w:rPr>
            </w:pPr>
            <w:bookmarkStart w:id="237" w:name="_Toc22390030"/>
            <w:r>
              <w:rPr>
                <w:rFonts w:hint="eastAsia" w:ascii="宋体" w:hAnsi="宋体" w:cs="宋体"/>
                <w:bCs/>
                <w:color w:val="000000" w:themeColor="text1"/>
                <w:sz w:val="18"/>
                <w:szCs w:val="18"/>
                <w14:textFill>
                  <w14:solidFill>
                    <w14:schemeClr w14:val="tx1"/>
                  </w14:solidFill>
                </w14:textFill>
              </w:rPr>
              <w:t>试验</w:t>
            </w:r>
            <w:bookmarkEnd w:id="237"/>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6.1</w:t>
            </w:r>
          </w:p>
        </w:tc>
        <w:tc>
          <w:tcPr>
            <w:tcW w:w="6234" w:type="dxa"/>
            <w:vAlign w:val="center"/>
          </w:tcPr>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型式试验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1）温升试验（按照GB/T 20840.1和GB/T20840.5规定执行，每批次、同型号产品抽检一台）</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2）工频电容和tan</w:t>
            </w:r>
            <w:r>
              <w:rPr>
                <w:rFonts w:hint="eastAsia" w:ascii="宋体" w:hAnsi="宋体"/>
                <w:color w:val="000000" w:themeColor="text1"/>
                <w:kern w:val="0"/>
                <w:sz w:val="18"/>
                <w:szCs w:val="18"/>
                <w14:textFill>
                  <w14:solidFill>
                    <w14:schemeClr w14:val="tx1"/>
                  </w14:solidFill>
                </w14:textFill>
              </w:rPr>
              <w:t>δ</w:t>
            </w:r>
            <w:r>
              <w:rPr>
                <w:rFonts w:hint="eastAsia" w:ascii="宋体"/>
                <w:color w:val="000000" w:themeColor="text1"/>
                <w:kern w:val="0"/>
                <w:sz w:val="18"/>
                <w:szCs w:val="18"/>
                <w14:textFill>
                  <w14:solidFill>
                    <w14:schemeClr w14:val="tx1"/>
                  </w14:solidFill>
                </w14:textFill>
              </w:rPr>
              <w:t>测量（按照GB/T20840.5规定执行）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3）截断雷电冲击试验（按照GB</w:t>
            </w:r>
            <w:r>
              <w:rPr>
                <w:rFonts w:ascii="宋体"/>
                <w:color w:val="000000" w:themeColor="text1"/>
                <w:kern w:val="0"/>
                <w:sz w:val="18"/>
                <w:szCs w:val="18"/>
                <w14:textFill>
                  <w14:solidFill>
                    <w14:schemeClr w14:val="tx1"/>
                  </w14:solidFill>
                </w14:textFill>
              </w:rPr>
              <w:t xml:space="preserve">/T </w:t>
            </w:r>
            <w:r>
              <w:rPr>
                <w:rFonts w:hint="eastAsia" w:ascii="宋体"/>
                <w:color w:val="000000" w:themeColor="text1"/>
                <w:kern w:val="0"/>
                <w:sz w:val="18"/>
                <w:szCs w:val="18"/>
                <w14:textFill>
                  <w14:solidFill>
                    <w14:schemeClr w14:val="tx1"/>
                  </w14:solidFill>
                </w14:textFill>
              </w:rPr>
              <w:t>20840.1和GB/T20840.5规定执行）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4）无线电干扰电压试验（适用于Um≥126kV，按照GB/T11604规定执行）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5） 短路承受能力试验（按照GB/T20840.5规定执行）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6）额定雷电冲击试验（按照GB/T16927.1和GB/T20840.规定执行）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7） 操作冲击湿试验（适用于Um≥300kV，按照GB/T16927.1和GB/T20840.5规定执行）</w:t>
            </w:r>
          </w:p>
          <w:p>
            <w:pPr>
              <w:autoSpaceDE w:val="0"/>
              <w:autoSpaceDN w:val="0"/>
              <w:adjustRightInd w:val="0"/>
              <w:jc w:val="left"/>
              <w:rPr>
                <w:rFonts w:ascii="宋体" w:cs="宋体"/>
                <w:color w:val="000000" w:themeColor="text1"/>
                <w:kern w:val="0"/>
                <w:sz w:val="18"/>
                <w:szCs w:val="18"/>
                <w14:textFill>
                  <w14:solidFill>
                    <w14:schemeClr w14:val="tx1"/>
                  </w14:solidFill>
                </w14:textFill>
              </w:rPr>
            </w:pPr>
            <w:r>
              <w:rPr>
                <w:rFonts w:hint="eastAsia" w:ascii="宋体" w:cs="宋体"/>
                <w:color w:val="000000" w:themeColor="text1"/>
                <w:kern w:val="0"/>
                <w:sz w:val="18"/>
                <w:szCs w:val="18"/>
                <w14:textFill>
                  <w14:solidFill>
                    <w14:schemeClr w14:val="tx1"/>
                  </w14:solidFill>
                </w14:textFill>
              </w:rPr>
              <w:t xml:space="preserve">    8）工频湿耐压试验（适用于Um＜300kV，按照GB/T16927.1和GB/T20840.5规定执行）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9） 暂态响应试验（仅适用于保护用电压互感器，按照GB/T20840.5规定执行）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10）铁磁谐振试验（按照GB/T20840.5规定执行）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11）准确度试验（按照GB/T20840.5规定执行）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12）抗震试验（按照GB50260规定执行）</w:t>
            </w:r>
          </w:p>
          <w:p>
            <w:pPr>
              <w:autoSpaceDE w:val="0"/>
              <w:autoSpaceDN w:val="0"/>
              <w:adjustRightInd w:val="0"/>
              <w:spacing w:line="360" w:lineRule="auto"/>
              <w:ind w:left="420" w:leftChars="200"/>
              <w:jc w:val="left"/>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供应商应提供抗震计算报告或开展抗震试验。</w:t>
            </w:r>
          </w:p>
          <w:p>
            <w:pPr>
              <w:autoSpaceDE w:val="0"/>
              <w:autoSpaceDN w:val="0"/>
              <w:adjustRightInd w:val="0"/>
              <w:spacing w:line="360" w:lineRule="auto"/>
              <w:ind w:firstLine="360" w:firstLineChars="20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13）传递过电压测量（按照GB</w:t>
            </w:r>
            <w:r>
              <w:rPr>
                <w:rFonts w:ascii="宋体"/>
                <w:color w:val="000000" w:themeColor="text1"/>
                <w:kern w:val="0"/>
                <w:sz w:val="18"/>
                <w:szCs w:val="18"/>
                <w14:textFill>
                  <w14:solidFill>
                    <w14:schemeClr w14:val="tx1"/>
                  </w14:solidFill>
                </w14:textFill>
              </w:rPr>
              <w:t>/T</w:t>
            </w:r>
            <w:r>
              <w:rPr>
                <w:rFonts w:hint="eastAsia" w:ascii="宋体"/>
                <w:color w:val="000000" w:themeColor="text1"/>
                <w:kern w:val="0"/>
                <w:sz w:val="18"/>
                <w:szCs w:val="18"/>
                <w14:textFill>
                  <w14:solidFill>
                    <w14:schemeClr w14:val="tx1"/>
                  </w14:solidFill>
                </w14:textFill>
              </w:rPr>
              <w:t>20840.1规定执行）</w:t>
            </w:r>
          </w:p>
          <w:p>
            <w:pPr>
              <w:autoSpaceDE w:val="0"/>
              <w:autoSpaceDN w:val="0"/>
              <w:adjustRightInd w:val="0"/>
              <w:spacing w:line="360" w:lineRule="auto"/>
              <w:ind w:firstLine="360" w:firstLineChars="20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14） 机械强度试验（按照GB</w:t>
            </w:r>
            <w:r>
              <w:rPr>
                <w:rFonts w:ascii="宋体"/>
                <w:color w:val="000000" w:themeColor="text1"/>
                <w:kern w:val="0"/>
                <w:sz w:val="18"/>
                <w:szCs w:val="18"/>
                <w14:textFill>
                  <w14:solidFill>
                    <w14:schemeClr w14:val="tx1"/>
                  </w14:solidFill>
                </w14:textFill>
              </w:rPr>
              <w:t>/T</w:t>
            </w:r>
            <w:r>
              <w:rPr>
                <w:rFonts w:hint="eastAsia" w:ascii="宋体"/>
                <w:color w:val="000000" w:themeColor="text1"/>
                <w:kern w:val="0"/>
                <w:sz w:val="18"/>
                <w:szCs w:val="18"/>
                <w14:textFill>
                  <w14:solidFill>
                    <w14:schemeClr w14:val="tx1"/>
                  </w14:solidFill>
                </w14:textFill>
              </w:rPr>
              <w:t>20840.1规定执行）</w:t>
            </w:r>
          </w:p>
          <w:p>
            <w:pPr>
              <w:autoSpaceDE w:val="0"/>
              <w:autoSpaceDN w:val="0"/>
              <w:adjustRightInd w:val="0"/>
              <w:spacing w:line="360" w:lineRule="auto"/>
              <w:ind w:firstLine="360" w:firstLineChars="20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15） 温度系数测定（根据GB/T19749规定执行）</w:t>
            </w:r>
          </w:p>
          <w:p>
            <w:pPr>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16）电容器单元密封设计试验（按照</w:t>
            </w:r>
            <w:r>
              <w:rPr>
                <w:rFonts w:ascii="宋体"/>
                <w:color w:val="000000" w:themeColor="text1"/>
                <w:kern w:val="0"/>
                <w:sz w:val="18"/>
                <w:szCs w:val="18"/>
                <w14:textFill>
                  <w14:solidFill>
                    <w14:schemeClr w14:val="tx1"/>
                  </w14:solidFill>
                </w14:textFill>
              </w:rPr>
              <w:t>GB/T20840.5</w:t>
            </w:r>
            <w:r>
              <w:rPr>
                <w:rFonts w:hint="eastAsia"/>
                <w:color w:val="000000" w:themeColor="text1"/>
                <w:sz w:val="18"/>
                <w:szCs w:val="18"/>
                <w14:textFill>
                  <w14:solidFill>
                    <w14:schemeClr w14:val="tx1"/>
                  </w14:solidFill>
                </w14:textFill>
              </w:rPr>
              <w:t>规定执行）</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6.2</w:t>
            </w:r>
          </w:p>
        </w:tc>
        <w:tc>
          <w:tcPr>
            <w:tcW w:w="6234" w:type="dxa"/>
            <w:vAlign w:val="center"/>
          </w:tcPr>
          <w:p>
            <w:pPr>
              <w:rPr>
                <w:color w:val="000000" w:themeColor="text1"/>
                <w:sz w:val="18"/>
                <w:szCs w:val="18"/>
                <w14:textFill>
                  <w14:solidFill>
                    <w14:schemeClr w14:val="tx1"/>
                  </w14:solidFill>
                </w14:textFill>
              </w:rPr>
            </w:pPr>
            <w:r>
              <w:rPr>
                <w:rFonts w:hint="eastAsia" w:ascii="黑体" w:hAnsi="黑体"/>
                <w:color w:val="000000" w:themeColor="text1"/>
                <w:sz w:val="18"/>
                <w:szCs w:val="18"/>
                <w14:textFill>
                  <w14:solidFill>
                    <w14:schemeClr w14:val="tx1"/>
                  </w14:solidFill>
                </w14:textFill>
              </w:rPr>
              <w:t>例行试验</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6.2.1</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电磁单元试验</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1）密封性能试验(包括电容分压器和电磁单元)</w:t>
            </w:r>
          </w:p>
          <w:p>
            <w:pPr>
              <w:autoSpaceDE w:val="0"/>
              <w:autoSpaceDN w:val="0"/>
              <w:adjustRightInd w:val="0"/>
              <w:spacing w:line="360" w:lineRule="auto"/>
              <w:ind w:firstLine="360" w:firstLineChars="20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按照GB</w:t>
            </w:r>
            <w:r>
              <w:rPr>
                <w:rFonts w:ascii="宋体"/>
                <w:color w:val="000000" w:themeColor="text1"/>
                <w:kern w:val="0"/>
                <w:sz w:val="18"/>
                <w:szCs w:val="18"/>
                <w14:textFill>
                  <w14:solidFill>
                    <w14:schemeClr w14:val="tx1"/>
                  </w14:solidFill>
                </w14:textFill>
              </w:rPr>
              <w:t>/T</w:t>
            </w:r>
            <w:r>
              <w:rPr>
                <w:rFonts w:hint="eastAsia" w:ascii="宋体"/>
                <w:color w:val="000000" w:themeColor="text1"/>
                <w:kern w:val="0"/>
                <w:sz w:val="18"/>
                <w:szCs w:val="18"/>
                <w14:textFill>
                  <w14:solidFill>
                    <w14:schemeClr w14:val="tx1"/>
                  </w14:solidFill>
                </w14:textFill>
              </w:rPr>
              <w:t>20840.1和GB/T20840.5规定执行</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2）电磁单元短时工频耐受试验</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试验方法按照GB/T20840.5规定执行。</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3）补偿电抗器及中压回路低压端子短时工频耐受试验</w:t>
            </w:r>
          </w:p>
          <w:p>
            <w:pPr>
              <w:autoSpaceDE w:val="0"/>
              <w:autoSpaceDN w:val="0"/>
              <w:adjustRightInd w:val="0"/>
              <w:spacing w:line="360" w:lineRule="auto"/>
              <w:jc w:val="left"/>
              <w:rPr>
                <w:rFonts w:ascii="宋体" w:cs="宋体"/>
                <w:color w:val="000000" w:themeColor="text1"/>
                <w:kern w:val="0"/>
                <w:sz w:val="18"/>
                <w:szCs w:val="18"/>
                <w14:textFill>
                  <w14:solidFill>
                    <w14:schemeClr w14:val="tx1"/>
                  </w14:solidFill>
                </w14:textFill>
              </w:rPr>
            </w:pPr>
            <w:r>
              <w:rPr>
                <w:rFonts w:hint="eastAsia" w:ascii="宋体" w:cs="宋体"/>
                <w:color w:val="000000" w:themeColor="text1"/>
                <w:kern w:val="0"/>
                <w:sz w:val="18"/>
                <w:szCs w:val="18"/>
                <w14:textFill>
                  <w14:solidFill>
                    <w14:schemeClr w14:val="tx1"/>
                  </w14:solidFill>
                </w14:textFill>
              </w:rPr>
              <w:t>试验方法按照GB/T20840.5规定执行。</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4）中间变压器空载损耗和空载电流测量</w:t>
            </w:r>
          </w:p>
          <w:p>
            <w:pPr>
              <w:autoSpaceDE w:val="0"/>
              <w:autoSpaceDN w:val="0"/>
              <w:adjustRightInd w:val="0"/>
              <w:spacing w:line="360" w:lineRule="auto"/>
              <w:ind w:firstLine="450" w:firstLineChars="25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在工频耐压试验前后进行试验，试验方法按照JB/T501规定执行，空载损耗变化量不超过10%。</w:t>
            </w:r>
          </w:p>
          <w:p>
            <w:pPr>
              <w:autoSpaceDE w:val="0"/>
              <w:autoSpaceDN w:val="0"/>
              <w:adjustRightInd w:val="0"/>
              <w:spacing w:line="360" w:lineRule="auto"/>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5）绝缘油性能试验</w:t>
            </w:r>
          </w:p>
          <w:p>
            <w:pPr>
              <w:autoSpaceDE w:val="0"/>
              <w:autoSpaceDN w:val="0"/>
              <w:adjustRightInd w:val="0"/>
              <w:spacing w:line="360" w:lineRule="auto"/>
              <w:ind w:firstLine="450" w:firstLineChars="250"/>
              <w:rPr>
                <w:rFonts w:ascii="宋体"/>
                <w:color w:val="000000" w:themeColor="text1"/>
                <w:kern w:val="0"/>
                <w:sz w:val="18"/>
                <w:szCs w:val="18"/>
                <w14:textFill>
                  <w14:solidFill>
                    <w14:schemeClr w14:val="tx1"/>
                  </w14:solidFill>
                </w14:textFill>
              </w:rPr>
            </w:pPr>
            <w:r>
              <w:rPr>
                <w:rFonts w:hint="eastAsia" w:ascii="宋体"/>
                <w:color w:val="000000" w:themeColor="text1"/>
                <w:kern w:val="0"/>
                <w:sz w:val="18"/>
                <w:szCs w:val="18"/>
                <w14:textFill>
                  <w14:solidFill>
                    <w14:schemeClr w14:val="tx1"/>
                  </w14:solidFill>
                </w14:textFill>
              </w:rPr>
              <w:t>油中微水按照GB/T7600规定执行，介质损耗因数测量按照GB/T5654规定执行，击穿电压测量按照GB/T507规定执行。</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6.2.2</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电容分压器试验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1）密封性能试验</w:t>
            </w:r>
          </w:p>
          <w:p>
            <w:pPr>
              <w:autoSpaceDE w:val="0"/>
              <w:autoSpaceDN w:val="0"/>
              <w:adjustRightInd w:val="0"/>
              <w:spacing w:line="360" w:lineRule="auto"/>
              <w:ind w:firstLine="450" w:firstLineChars="25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按照GB/T20840.1和GB/T20840.5规定执行。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2）工频电容和tanδ测量</w:t>
            </w:r>
          </w:p>
          <w:p>
            <w:pPr>
              <w:autoSpaceDE w:val="0"/>
              <w:autoSpaceDN w:val="0"/>
              <w:adjustRightInd w:val="0"/>
              <w:spacing w:line="360" w:lineRule="auto"/>
              <w:ind w:firstLine="450" w:firstLineChars="25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在工频耐压试验前后进行试验，电容量变化应不超过一个电容器元件的电容值。</w:t>
            </w:r>
          </w:p>
          <w:p>
            <w:pPr>
              <w:autoSpaceDE w:val="0"/>
              <w:autoSpaceDN w:val="0"/>
              <w:adjustRightInd w:val="0"/>
              <w:spacing w:line="360" w:lineRule="auto"/>
              <w:ind w:firstLine="450" w:firstLineChars="25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tanδ应在10kV和额定电压下与电容量测量同时进行。对于膜纸介质电容器单元，tanδ值不应超过0.15%。</w:t>
            </w:r>
          </w:p>
          <w:p>
            <w:pPr>
              <w:autoSpaceDE w:val="0"/>
              <w:autoSpaceDN w:val="0"/>
              <w:adjustRightInd w:val="0"/>
              <w:spacing w:line="360" w:lineRule="auto"/>
              <w:ind w:firstLine="450" w:firstLineChars="25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试验方法按照GB/T20840.5规定执行。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3）电容器短时工频耐受试验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试验方法按照GB/T20840.5规定执行。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4）低压端子短时工频耐受试验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试验时电磁单元不断开，具体试验方法按照GB/T20840.5规定执行。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 xml:space="preserve"> 5）局部放电测量</w:t>
            </w:r>
          </w:p>
          <w:p>
            <w:pPr>
              <w:autoSpaceDE w:val="0"/>
              <w:autoSpaceDN w:val="0"/>
              <w:adjustRightInd w:val="0"/>
              <w:spacing w:line="360" w:lineRule="auto"/>
              <w:ind w:firstLine="450" w:firstLineChars="25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应在电容分压器短时工频耐受试验后进行，局部放电测量试验时间应延长到5min。</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局部部放电试验适用于完整的电容分压器，试验时电磁单元可不接入，试验方法按照GB/T20840.1和GB/T20840.5规定执行。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6) 爬电距离和干弧距离检查并计算比值</w:t>
            </w:r>
          </w:p>
          <w:p>
            <w:pPr>
              <w:rPr>
                <w:rFonts w:ascii="宋体" w:hAnsi="宋体" w:cs="宋体"/>
                <w:color w:val="000000" w:themeColor="text1"/>
                <w:sz w:val="18"/>
                <w:szCs w:val="18"/>
                <w14:textFill>
                  <w14:solidFill>
                    <w14:schemeClr w14:val="tx1"/>
                  </w14:solidFill>
                </w14:textFill>
              </w:rPr>
            </w:pPr>
          </w:p>
        </w:tc>
        <w:tc>
          <w:tcPr>
            <w:tcW w:w="1203" w:type="dxa"/>
            <w:vAlign w:val="center"/>
          </w:tcPr>
          <w:p>
            <w:pPr>
              <w:jc w:val="center"/>
              <w:rPr>
                <w:rFonts w:ascii="宋体" w:hAnsi="宋体" w:cs="宋体"/>
                <w:color w:val="000000" w:themeColor="text1"/>
                <w:sz w:val="18"/>
                <w:szCs w:val="18"/>
                <w14:textFill>
                  <w14:solidFill>
                    <w14:schemeClr w14:val="tx1"/>
                  </w14:solidFill>
                </w14:textFill>
              </w:rPr>
            </w:pPr>
          </w:p>
        </w:tc>
        <w:tc>
          <w:tcPr>
            <w:tcW w:w="1560"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w:t>
            </w:r>
          </w:p>
        </w:tc>
        <w:tc>
          <w:tcPr>
            <w:tcW w:w="1490" w:type="dxa"/>
            <w:vAlign w:val="center"/>
          </w:tcPr>
          <w:p>
            <w:pPr>
              <w:jc w:val="center"/>
              <w:rPr>
                <w:rFonts w:ascii="宋体" w:hAnsi="宋体" w:cs="宋体"/>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rFonts w:ascii="宋体" w:hAnsi="宋体" w:cs="宋体"/>
                <w:color w:val="000000" w:themeColor="text1"/>
                <w:sz w:val="18"/>
                <w:szCs w:val="18"/>
                <w14:textFill>
                  <w14:solidFill>
                    <w14:schemeClr w14:val="tx1"/>
                  </w14:solidFill>
                </w14:textFill>
              </w:rPr>
            </w:pPr>
          </w:p>
        </w:tc>
        <w:tc>
          <w:tcPr>
            <w:tcW w:w="1276" w:type="dxa"/>
            <w:vAlign w:val="center"/>
          </w:tcPr>
          <w:p>
            <w:pPr>
              <w:jc w:val="center"/>
              <w:rPr>
                <w:rFonts w:ascii="宋体" w:hAnsi="宋体" w:cs="宋体"/>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6.2.3</w:t>
            </w:r>
          </w:p>
        </w:tc>
        <w:tc>
          <w:tcPr>
            <w:tcW w:w="6234" w:type="dxa"/>
            <w:vAlign w:val="center"/>
          </w:tcPr>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整体试验</w:t>
            </w:r>
          </w:p>
          <w:p>
            <w:pPr>
              <w:widowControl/>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1）端子标志检验</w:t>
            </w:r>
          </w:p>
          <w:p>
            <w:pPr>
              <w:autoSpaceDE w:val="0"/>
              <w:autoSpaceDN w:val="0"/>
              <w:adjustRightInd w:val="0"/>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端子标志符合DL/T1251规定。</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2）铁磁谐振检验</w:t>
            </w:r>
          </w:p>
          <w:p>
            <w:pPr>
              <w:autoSpaceDE w:val="0"/>
              <w:autoSpaceDN w:val="0"/>
              <w:adjustRightInd w:val="0"/>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进行0.8Upr、1.0 Upr、1.2 Upr及1.5 Upr（非有效接地系统时1.9Upr）的铁磁谐振试验，每个电压下至少进行3次。</w:t>
            </w:r>
          </w:p>
          <w:p>
            <w:pPr>
              <w:autoSpaceDE w:val="0"/>
              <w:autoSpaceDN w:val="0"/>
              <w:adjustRightInd w:val="0"/>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具体试验方法和试验程序按照GB/T20840.5规定执行</w:t>
            </w:r>
          </w:p>
          <w:p>
            <w:pPr>
              <w:autoSpaceDE w:val="0"/>
              <w:autoSpaceDN w:val="0"/>
              <w:adjustRightInd w:val="0"/>
              <w:spacing w:line="360" w:lineRule="auto"/>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3）准确度检验</w:t>
            </w:r>
          </w:p>
          <w:p>
            <w:pPr>
              <w:autoSpaceDE w:val="0"/>
              <w:autoSpaceDN w:val="0"/>
              <w:adjustRightInd w:val="0"/>
              <w:spacing w:line="360" w:lineRule="auto"/>
              <w:ind w:firstLine="360" w:firstLineChars="200"/>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按照GB/T20840.5规定执行</w:t>
            </w:r>
          </w:p>
          <w:p>
            <w:pPr>
              <w:autoSpaceDE w:val="0"/>
              <w:autoSpaceDN w:val="0"/>
              <w:adjustRightInd w:val="0"/>
              <w:jc w:val="left"/>
              <w:rPr>
                <w:rFonts w:ascii="宋体" w:hAnsi="宋体" w:cs="宋体"/>
                <w:color w:val="000000" w:themeColor="text1"/>
                <w:kern w:val="0"/>
                <w:sz w:val="18"/>
                <w:szCs w:val="18"/>
                <w14:textFill>
                  <w14:solidFill>
                    <w14:schemeClr w14:val="tx1"/>
                  </w14:solidFill>
                </w14:textFill>
              </w:rPr>
            </w:pPr>
            <w:r>
              <w:rPr>
                <w:rFonts w:hint="eastAsia" w:ascii="宋体" w:hAnsi="宋体" w:cs="宋体"/>
                <w:color w:val="000000" w:themeColor="text1"/>
                <w:kern w:val="0"/>
                <w:sz w:val="18"/>
                <w:szCs w:val="18"/>
                <w14:textFill>
                  <w14:solidFill>
                    <w14:schemeClr w14:val="tx1"/>
                  </w14:solidFill>
                </w14:textFill>
              </w:rPr>
              <w:t>4) 低电压下变比及电容量的测量</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技术文件要求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w:t>
            </w:r>
            <w:r>
              <w:rPr>
                <w:color w:val="000000" w:themeColor="text1"/>
                <w:sz w:val="18"/>
                <w:szCs w:val="18"/>
                <w14:textFill>
                  <w14:solidFill>
                    <w14:schemeClr w14:val="tx1"/>
                  </w14:solidFill>
                </w14:textFill>
              </w:rPr>
              <w:t>.2</w:t>
            </w:r>
          </w:p>
        </w:tc>
        <w:tc>
          <w:tcPr>
            <w:tcW w:w="6234" w:type="dxa"/>
            <w:vAlign w:val="center"/>
          </w:tcPr>
          <w:p>
            <w:pPr>
              <w:adjustRightInd w:val="0"/>
              <w:snapToGrid w:val="0"/>
              <w:spacing w:line="360" w:lineRule="auto"/>
              <w:rPr>
                <w:rFonts w:ascii="宋体" w:hAnsi="宋体" w:cs="宋体"/>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供应商在投标阶段应提交的资料及说明</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电容式电压互感器的</w:t>
            </w:r>
            <w:r>
              <w:rPr>
                <w:color w:val="000000" w:themeColor="text1"/>
                <w:sz w:val="18"/>
                <w:szCs w:val="18"/>
                <w14:textFill>
                  <w14:solidFill>
                    <w14:schemeClr w14:val="tx1"/>
                  </w14:solidFill>
                </w14:textFill>
              </w:rPr>
              <w:t>一般说明, 包括初步的</w:t>
            </w:r>
            <w:r>
              <w:rPr>
                <w:rFonts w:hint="eastAsia"/>
                <w:color w:val="000000" w:themeColor="text1"/>
                <w:sz w:val="18"/>
                <w:szCs w:val="18"/>
                <w14:textFill>
                  <w14:solidFill>
                    <w14:schemeClr w14:val="tx1"/>
                  </w14:solidFill>
                </w14:textFill>
              </w:rPr>
              <w:t>外形图、基础图、布置图等。</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电容式电压互感器的</w:t>
            </w:r>
            <w:r>
              <w:rPr>
                <w:color w:val="000000" w:themeColor="text1"/>
                <w:sz w:val="18"/>
                <w:szCs w:val="18"/>
                <w14:textFill>
                  <w14:solidFill>
                    <w14:schemeClr w14:val="tx1"/>
                  </w14:solidFill>
                </w14:textFill>
              </w:rPr>
              <w:t>详细说明</w:t>
            </w:r>
            <w:r>
              <w:rPr>
                <w:rFonts w:hint="eastAsia"/>
                <w:color w:val="000000" w:themeColor="text1"/>
                <w:sz w:val="18"/>
                <w:szCs w:val="18"/>
                <w14:textFill>
                  <w14:solidFill>
                    <w14:schemeClr w14:val="tx1"/>
                  </w14:solidFill>
                </w14:textFill>
              </w:rPr>
              <w:t>：</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a.电容分压器组成、结构及性能指标</w:t>
            </w:r>
            <w:r>
              <w:rPr>
                <w:color w:val="000000" w:themeColor="text1"/>
                <w:sz w:val="18"/>
                <w:szCs w:val="18"/>
                <w14:textFill>
                  <w14:solidFill>
                    <w14:schemeClr w14:val="tx1"/>
                  </w14:solidFill>
                </w14:textFill>
              </w:rPr>
              <w:t>。</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b.电磁单元组成、</w:t>
            </w:r>
            <w:r>
              <w:rPr>
                <w:color w:val="000000" w:themeColor="text1"/>
                <w:sz w:val="18"/>
                <w:szCs w:val="18"/>
                <w14:textFill>
                  <w14:solidFill>
                    <w14:schemeClr w14:val="tx1"/>
                  </w14:solidFill>
                </w14:textFill>
              </w:rPr>
              <w:t>结构</w:t>
            </w:r>
            <w:r>
              <w:rPr>
                <w:rFonts w:hint="eastAsia"/>
                <w:color w:val="000000" w:themeColor="text1"/>
                <w:sz w:val="18"/>
                <w:szCs w:val="18"/>
                <w14:textFill>
                  <w14:solidFill>
                    <w14:schemeClr w14:val="tx1"/>
                  </w14:solidFill>
                </w14:textFill>
              </w:rPr>
              <w:t>及性能指标</w:t>
            </w:r>
            <w:r>
              <w:rPr>
                <w:color w:val="000000" w:themeColor="text1"/>
                <w:sz w:val="18"/>
                <w:szCs w:val="18"/>
                <w14:textFill>
                  <w14:solidFill>
                    <w14:schemeClr w14:val="tx1"/>
                  </w14:solidFill>
                </w14:textFill>
              </w:rPr>
              <w:t>。</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c.所</w:t>
            </w:r>
            <w:r>
              <w:rPr>
                <w:color w:val="000000" w:themeColor="text1"/>
                <w:sz w:val="18"/>
                <w:szCs w:val="18"/>
                <w14:textFill>
                  <w14:solidFill>
                    <w14:schemeClr w14:val="tx1"/>
                  </w14:solidFill>
                </w14:textFill>
              </w:rPr>
              <w:t>使用的</w:t>
            </w:r>
            <w:r>
              <w:rPr>
                <w:rFonts w:hint="eastAsia"/>
                <w:color w:val="000000" w:themeColor="text1"/>
                <w:sz w:val="18"/>
                <w:szCs w:val="18"/>
                <w14:textFill>
                  <w14:solidFill>
                    <w14:schemeClr w14:val="tx1"/>
                  </w14:solidFill>
                </w14:textFill>
              </w:rPr>
              <w:t>关键原</w:t>
            </w:r>
            <w:r>
              <w:rPr>
                <w:color w:val="000000" w:themeColor="text1"/>
                <w:sz w:val="18"/>
                <w:szCs w:val="18"/>
                <w14:textFill>
                  <w14:solidFill>
                    <w14:schemeClr w14:val="tx1"/>
                  </w14:solidFill>
                </w14:textFill>
              </w:rPr>
              <w:t>材料。</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详细说明电容式电压互感器</w:t>
            </w:r>
            <w:r>
              <w:rPr>
                <w:color w:val="000000" w:themeColor="text1"/>
                <w:sz w:val="18"/>
                <w:szCs w:val="18"/>
                <w14:textFill>
                  <w14:solidFill>
                    <w14:schemeClr w14:val="tx1"/>
                  </w14:solidFill>
                </w14:textFill>
              </w:rPr>
              <w:t>是否</w:t>
            </w:r>
            <w:r>
              <w:rPr>
                <w:rFonts w:hint="eastAsia"/>
                <w:color w:val="000000" w:themeColor="text1"/>
                <w:sz w:val="18"/>
                <w:szCs w:val="18"/>
                <w14:textFill>
                  <w14:solidFill>
                    <w14:schemeClr w14:val="tx1"/>
                  </w14:solidFill>
                </w14:textFill>
              </w:rPr>
              <w:t>满足IEC</w:t>
            </w:r>
            <w:r>
              <w:rPr>
                <w:color w:val="000000" w:themeColor="text1"/>
                <w:sz w:val="18"/>
                <w:szCs w:val="18"/>
                <w14:textFill>
                  <w14:solidFill>
                    <w14:schemeClr w14:val="tx1"/>
                  </w14:solidFill>
                </w14:textFill>
              </w:rPr>
              <w:t>的推荐允许短时间过负荷</w:t>
            </w:r>
            <w:r>
              <w:rPr>
                <w:rFonts w:hint="eastAsia"/>
                <w:color w:val="000000" w:themeColor="text1"/>
                <w:sz w:val="18"/>
                <w:szCs w:val="18"/>
                <w14:textFill>
                  <w14:solidFill>
                    <w14:schemeClr w14:val="tx1"/>
                  </w14:solidFill>
                </w14:textFill>
              </w:rPr>
              <w:t>、铁磁谐振性能、暂态响应性能</w:t>
            </w:r>
            <w:r>
              <w:rPr>
                <w:color w:val="000000" w:themeColor="text1"/>
                <w:sz w:val="18"/>
                <w:szCs w:val="18"/>
                <w14:textFill>
                  <w14:solidFill>
                    <w14:schemeClr w14:val="tx1"/>
                  </w14:solidFill>
                </w14:textFill>
              </w:rPr>
              <w:t>的</w:t>
            </w:r>
            <w:r>
              <w:rPr>
                <w:rFonts w:hint="eastAsia"/>
                <w:color w:val="000000" w:themeColor="text1"/>
                <w:sz w:val="18"/>
                <w:szCs w:val="18"/>
                <w14:textFill>
                  <w14:solidFill>
                    <w14:schemeClr w14:val="tx1"/>
                  </w14:solidFill>
                </w14:textFill>
              </w:rPr>
              <w:t>要求</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若不能满足IEC要求，</w:t>
            </w:r>
            <w:r>
              <w:rPr>
                <w:color w:val="000000" w:themeColor="text1"/>
                <w:sz w:val="18"/>
                <w:szCs w:val="18"/>
                <w14:textFill>
                  <w14:solidFill>
                    <w14:schemeClr w14:val="tx1"/>
                  </w14:solidFill>
                </w14:textFill>
              </w:rPr>
              <w:t>供应商应</w:t>
            </w:r>
            <w:r>
              <w:rPr>
                <w:rFonts w:hint="eastAsia"/>
                <w:color w:val="000000" w:themeColor="text1"/>
                <w:sz w:val="18"/>
                <w:szCs w:val="18"/>
                <w14:textFill>
                  <w14:solidFill>
                    <w14:schemeClr w14:val="tx1"/>
                  </w14:solidFill>
                </w14:textFill>
              </w:rPr>
              <w:t>说明所提供具体性能指标</w:t>
            </w:r>
            <w:r>
              <w:rPr>
                <w:color w:val="000000" w:themeColor="text1"/>
                <w:sz w:val="18"/>
                <w:szCs w:val="18"/>
                <w14:textFill>
                  <w14:solidFill>
                    <w14:schemeClr w14:val="tx1"/>
                  </w14:solidFill>
                </w14:textFill>
              </w:rPr>
              <w:t>。</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4）</w:t>
            </w:r>
            <w:r>
              <w:rPr>
                <w:rFonts w:hint="eastAsia"/>
                <w:color w:val="000000" w:themeColor="text1"/>
                <w:sz w:val="18"/>
                <w:szCs w:val="18"/>
                <w14:textFill>
                  <w14:solidFill>
                    <w14:schemeClr w14:val="tx1"/>
                  </w14:solidFill>
                </w14:textFill>
              </w:rPr>
              <w:t>提供电容式电压互感器短路耐受能力试验报告、抗震试验报告、准确度试验、铁磁谐振特性试验、瞬态响应特性、温升试验等型式试验报告</w:t>
            </w:r>
            <w:r>
              <w:rPr>
                <w:color w:val="000000" w:themeColor="text1"/>
                <w:sz w:val="18"/>
                <w:szCs w:val="18"/>
                <w14:textFill>
                  <w14:solidFill>
                    <w14:schemeClr w14:val="tx1"/>
                  </w14:solidFill>
                </w14:textFill>
              </w:rPr>
              <w:t>。</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关键技术、</w:t>
            </w:r>
            <w:r>
              <w:rPr>
                <w:color w:val="000000" w:themeColor="text1"/>
                <w:sz w:val="18"/>
                <w:szCs w:val="18"/>
                <w14:textFill>
                  <w14:solidFill>
                    <w14:schemeClr w14:val="tx1"/>
                  </w14:solidFill>
                </w14:textFill>
              </w:rPr>
              <w:t>制造工艺和生产控制。</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w:t>
            </w:r>
            <w:r>
              <w:rPr>
                <w:color w:val="000000" w:themeColor="text1"/>
                <w:sz w:val="18"/>
                <w:szCs w:val="18"/>
                <w14:textFill>
                  <w14:solidFill>
                    <w14:schemeClr w14:val="tx1"/>
                  </w14:solidFill>
                </w14:textFill>
              </w:rPr>
              <w:t>）</w:t>
            </w:r>
            <w:r>
              <w:rPr>
                <w:rFonts w:hint="eastAsia"/>
                <w:color w:val="000000" w:themeColor="text1"/>
                <w:sz w:val="18"/>
                <w:szCs w:val="18"/>
                <w14:textFill>
                  <w14:solidFill>
                    <w14:schemeClr w14:val="tx1"/>
                  </w14:solidFill>
                </w14:textFill>
              </w:rPr>
              <w:t>说明</w:t>
            </w:r>
            <w:r>
              <w:rPr>
                <w:color w:val="000000" w:themeColor="text1"/>
                <w:sz w:val="18"/>
                <w:szCs w:val="18"/>
                <w14:textFill>
                  <w14:solidFill>
                    <w14:schemeClr w14:val="tx1"/>
                  </w14:solidFill>
                </w14:textFill>
              </w:rPr>
              <w:t>供应商生产的任一台</w:t>
            </w:r>
            <w:r>
              <w:rPr>
                <w:rFonts w:hint="eastAsia"/>
                <w:color w:val="000000" w:themeColor="text1"/>
                <w:sz w:val="18"/>
                <w:szCs w:val="18"/>
                <w14:textFill>
                  <w14:solidFill>
                    <w14:schemeClr w14:val="tx1"/>
                  </w14:solidFill>
                </w14:textFill>
              </w:rPr>
              <w:t>电容式电压互感器</w:t>
            </w:r>
            <w:r>
              <w:rPr>
                <w:color w:val="000000" w:themeColor="text1"/>
                <w:sz w:val="18"/>
                <w:szCs w:val="18"/>
                <w14:textFill>
                  <w14:solidFill>
                    <w14:schemeClr w14:val="tx1"/>
                  </w14:solidFill>
                </w14:textFill>
              </w:rPr>
              <w:t>是否</w:t>
            </w:r>
            <w:r>
              <w:rPr>
                <w:rFonts w:hint="eastAsia"/>
                <w:color w:val="000000" w:themeColor="text1"/>
                <w:sz w:val="18"/>
                <w:szCs w:val="18"/>
                <w14:textFill>
                  <w14:solidFill>
                    <w14:schemeClr w14:val="tx1"/>
                  </w14:solidFill>
                </w14:textFill>
              </w:rPr>
              <w:t>曾发生铁磁谐振</w:t>
            </w:r>
            <w:r>
              <w:rPr>
                <w:color w:val="000000" w:themeColor="text1"/>
                <w:sz w:val="18"/>
                <w:szCs w:val="18"/>
                <w14:textFill>
                  <w14:solidFill>
                    <w14:schemeClr w14:val="tx1"/>
                  </w14:solidFill>
                </w14:textFill>
              </w:rPr>
              <w:t>故障, 故障的原因及保证类似故障不发生</w:t>
            </w:r>
            <w:r>
              <w:rPr>
                <w:rFonts w:hint="eastAsia"/>
                <w:color w:val="000000" w:themeColor="text1"/>
                <w:sz w:val="18"/>
                <w:szCs w:val="18"/>
                <w14:textFill>
                  <w14:solidFill>
                    <w14:schemeClr w14:val="tx1"/>
                  </w14:solidFill>
                </w14:textFill>
              </w:rPr>
              <w:t>所</w:t>
            </w:r>
            <w:r>
              <w:rPr>
                <w:color w:val="000000" w:themeColor="text1"/>
                <w:sz w:val="18"/>
                <w:szCs w:val="18"/>
                <w14:textFill>
                  <w14:solidFill>
                    <w14:schemeClr w14:val="tx1"/>
                  </w14:solidFill>
                </w14:textFill>
              </w:rPr>
              <w:t>采取的</w:t>
            </w:r>
            <w:r>
              <w:rPr>
                <w:rFonts w:hint="eastAsia"/>
                <w:color w:val="000000" w:themeColor="text1"/>
                <w:sz w:val="18"/>
                <w:szCs w:val="18"/>
                <w14:textFill>
                  <w14:solidFill>
                    <w14:schemeClr w14:val="tx1"/>
                  </w14:solidFill>
                </w14:textFill>
              </w:rPr>
              <w:t>方法措施</w:t>
            </w:r>
            <w:r>
              <w:rPr>
                <w:color w:val="000000" w:themeColor="text1"/>
                <w:sz w:val="18"/>
                <w:szCs w:val="18"/>
                <w14:textFill>
                  <w14:solidFill>
                    <w14:schemeClr w14:val="tx1"/>
                  </w14:solidFill>
                </w14:textFill>
              </w:rPr>
              <w:t>。</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w:t>
            </w:r>
            <w:r>
              <w:rPr>
                <w:color w:val="000000" w:themeColor="text1"/>
                <w:sz w:val="18"/>
                <w:szCs w:val="18"/>
                <w14:textFill>
                  <w14:solidFill>
                    <w14:schemeClr w14:val="tx1"/>
                  </w14:solidFill>
                </w14:textFill>
              </w:rPr>
              <w:t>）厂家在投标文件中须阐述其主要技术特点：</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a</w:t>
            </w:r>
            <w:r>
              <w:rPr>
                <w:rFonts w:hint="eastAsia"/>
                <w:color w:val="000000" w:themeColor="text1"/>
                <w:sz w:val="18"/>
                <w:szCs w:val="18"/>
                <w14:textFill>
                  <w14:solidFill>
                    <w14:schemeClr w14:val="tx1"/>
                  </w14:solidFill>
                </w14:textFill>
              </w:rPr>
              <w:t>.确保测量精度</w:t>
            </w:r>
            <w:r>
              <w:rPr>
                <w:color w:val="000000" w:themeColor="text1"/>
                <w:sz w:val="18"/>
                <w:szCs w:val="18"/>
                <w14:textFill>
                  <w14:solidFill>
                    <w14:schemeClr w14:val="tx1"/>
                  </w14:solidFill>
                </w14:textFill>
              </w:rPr>
              <w:t>措施</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b</w:t>
            </w:r>
            <w:r>
              <w:rPr>
                <w:rFonts w:hint="eastAsia"/>
                <w:color w:val="000000" w:themeColor="text1"/>
                <w:sz w:val="18"/>
                <w:szCs w:val="18"/>
                <w14:textFill>
                  <w14:solidFill>
                    <w14:schemeClr w14:val="tx1"/>
                  </w14:solidFill>
                </w14:textFill>
              </w:rPr>
              <w:t>.提高电容器单元质量的措施</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c</w:t>
            </w:r>
            <w:r>
              <w:rPr>
                <w:rFonts w:hint="eastAsia"/>
                <w:color w:val="000000" w:themeColor="text1"/>
                <w:sz w:val="18"/>
                <w:szCs w:val="18"/>
                <w14:textFill>
                  <w14:solidFill>
                    <w14:schemeClr w14:val="tx1"/>
                  </w14:solidFill>
                </w14:textFill>
              </w:rPr>
              <w:t>.</w:t>
            </w:r>
            <w:r>
              <w:rPr>
                <w:color w:val="000000" w:themeColor="text1"/>
                <w:sz w:val="18"/>
                <w:szCs w:val="18"/>
                <w14:textFill>
                  <w14:solidFill>
                    <w14:schemeClr w14:val="tx1"/>
                  </w14:solidFill>
                </w14:textFill>
              </w:rPr>
              <w:t>防渗漏措施</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d</w:t>
            </w:r>
            <w:r>
              <w:rPr>
                <w:rFonts w:hint="eastAsia"/>
                <w:color w:val="000000" w:themeColor="text1"/>
                <w:sz w:val="18"/>
                <w:szCs w:val="18"/>
                <w14:textFill>
                  <w14:solidFill>
                    <w14:schemeClr w14:val="tx1"/>
                  </w14:solidFill>
                </w14:textFill>
              </w:rPr>
              <w:t>.避免二次电压不平衡的措施</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e</w:t>
            </w:r>
            <w:r>
              <w:rPr>
                <w:rFonts w:hint="eastAsia"/>
                <w:color w:val="000000" w:themeColor="text1"/>
                <w:sz w:val="18"/>
                <w:szCs w:val="18"/>
                <w14:textFill>
                  <w14:solidFill>
                    <w14:schemeClr w14:val="tx1"/>
                  </w14:solidFill>
                </w14:textFill>
              </w:rPr>
              <w:t>.防止电磁单元匝间短路的措施</w:t>
            </w:r>
          </w:p>
          <w:p>
            <w:pPr>
              <w:adjustRightInd w:val="0"/>
              <w:snapToGrid w:val="0"/>
              <w:spacing w:line="360" w:lineRule="auto"/>
              <w:ind w:firstLine="540" w:firstLineChars="3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f.提高阻尼器质量的措施</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8）按南网规定模版编制的对应应标电容式电压互感器设备型号的维护检修手册（提供模板）</w:t>
            </w:r>
          </w:p>
          <w:p>
            <w:pPr>
              <w:adjustRightInd w:val="0"/>
              <w:snapToGrid w:val="0"/>
              <w:spacing w:line="360" w:lineRule="auto"/>
              <w:rPr>
                <w:rFonts w:ascii="宋体" w:hAnsi="宋体" w:cs="宋体"/>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w:t>
            </w:r>
          </w:p>
        </w:tc>
        <w:tc>
          <w:tcPr>
            <w:tcW w:w="149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图纸编号</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8.3</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ascii="宋体" w:hAnsi="宋体" w:cs="宋体"/>
                <w:color w:val="000000" w:themeColor="text1"/>
                <w:sz w:val="18"/>
                <w:szCs w:val="18"/>
                <w14:textFill>
                  <w14:solidFill>
                    <w14:schemeClr w14:val="tx1"/>
                  </w14:solidFill>
                </w14:textFill>
              </w:rPr>
              <w:t>其他文件资料</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8.3.1</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需要提供的图纸</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w:t>
            </w:r>
            <w:r>
              <w:rPr>
                <w:rFonts w:hint="eastAsia"/>
                <w:color w:val="000000" w:themeColor="text1"/>
                <w:kern w:val="0"/>
                <w:sz w:val="18"/>
                <w:szCs w:val="18"/>
                <w14:textFill>
                  <w14:solidFill>
                    <w14:schemeClr w14:val="tx1"/>
                  </w14:solidFill>
                </w14:textFill>
              </w:rPr>
              <w:t>）总装图。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2</w:t>
            </w:r>
            <w:r>
              <w:rPr>
                <w:rFonts w:hint="eastAsia"/>
                <w:color w:val="000000" w:themeColor="text1"/>
                <w:kern w:val="0"/>
                <w:sz w:val="18"/>
                <w:szCs w:val="18"/>
                <w14:textFill>
                  <w14:solidFill>
                    <w14:schemeClr w14:val="tx1"/>
                  </w14:solidFill>
                </w14:textFill>
              </w:rPr>
              <w:t>）基础安装尺寸图。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3</w:t>
            </w:r>
            <w:r>
              <w:rPr>
                <w:rFonts w:hint="eastAsia"/>
                <w:color w:val="000000" w:themeColor="text1"/>
                <w:kern w:val="0"/>
                <w:sz w:val="18"/>
                <w:szCs w:val="18"/>
                <w14:textFill>
                  <w14:solidFill>
                    <w14:schemeClr w14:val="tx1"/>
                  </w14:solidFill>
                </w14:textFill>
              </w:rPr>
              <w:t>）电气原理图。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4</w:t>
            </w:r>
            <w:r>
              <w:rPr>
                <w:rFonts w:hint="eastAsia"/>
                <w:color w:val="000000" w:themeColor="text1"/>
                <w:kern w:val="0"/>
                <w:sz w:val="18"/>
                <w:szCs w:val="18"/>
                <w14:textFill>
                  <w14:solidFill>
                    <w14:schemeClr w14:val="tx1"/>
                  </w14:solidFill>
                </w14:textFill>
              </w:rPr>
              <w:t>）吊装图。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5</w:t>
            </w:r>
            <w:r>
              <w:rPr>
                <w:rFonts w:hint="eastAsia"/>
                <w:color w:val="000000" w:themeColor="text1"/>
                <w:kern w:val="0"/>
                <w:sz w:val="18"/>
                <w:szCs w:val="18"/>
                <w14:textFill>
                  <w14:solidFill>
                    <w14:schemeClr w14:val="tx1"/>
                  </w14:solidFill>
                </w14:textFill>
              </w:rPr>
              <w:t>）铭牌图。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6</w:t>
            </w:r>
            <w:r>
              <w:rPr>
                <w:rFonts w:hint="eastAsia"/>
                <w:color w:val="000000" w:themeColor="text1"/>
                <w:kern w:val="0"/>
                <w:sz w:val="18"/>
                <w:szCs w:val="18"/>
                <w14:textFill>
                  <w14:solidFill>
                    <w14:schemeClr w14:val="tx1"/>
                  </w14:solidFill>
                </w14:textFill>
              </w:rPr>
              <w:t>）运输运装示意图，包括运输尺寸等。</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7</w:t>
            </w:r>
            <w:r>
              <w:rPr>
                <w:rFonts w:hint="eastAsia"/>
                <w:color w:val="000000" w:themeColor="text1"/>
                <w:kern w:val="0"/>
                <w:sz w:val="18"/>
                <w:szCs w:val="18"/>
                <w14:textFill>
                  <w14:solidFill>
                    <w14:schemeClr w14:val="tx1"/>
                  </w14:solidFill>
                </w14:textFill>
              </w:rPr>
              <w:t>）一次绕组和主绝缘的绝缘构造图。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8</w:t>
            </w:r>
            <w:r>
              <w:rPr>
                <w:rFonts w:hint="eastAsia"/>
                <w:color w:val="000000" w:themeColor="text1"/>
                <w:kern w:val="0"/>
                <w:sz w:val="18"/>
                <w:szCs w:val="18"/>
                <w14:textFill>
                  <w14:solidFill>
                    <w14:schemeClr w14:val="tx1"/>
                  </w14:solidFill>
                </w14:textFill>
              </w:rPr>
              <w:t>）二次绕组接线和布置图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9</w:t>
            </w:r>
            <w:r>
              <w:rPr>
                <w:rFonts w:hint="eastAsia"/>
                <w:color w:val="000000" w:themeColor="text1"/>
                <w:kern w:val="0"/>
                <w:sz w:val="18"/>
                <w:szCs w:val="18"/>
                <w14:textFill>
                  <w14:solidFill>
                    <w14:schemeClr w14:val="tx1"/>
                  </w14:solidFill>
                </w14:textFill>
              </w:rPr>
              <w:t>）二次端子箱端子接线图。</w:t>
            </w:r>
          </w:p>
          <w:p>
            <w:pPr>
              <w:autoSpaceDE w:val="0"/>
              <w:autoSpaceDN w:val="0"/>
              <w:adjustRightInd w:val="0"/>
              <w:spacing w:line="360" w:lineRule="auto"/>
              <w:ind w:left="406" w:leftChars="150" w:right="105" w:hanging="91" w:hangingChars="51"/>
              <w:jc w:val="left"/>
              <w:rPr>
                <w:color w:val="000000" w:themeColor="text1"/>
                <w:kern w:val="0"/>
                <w:sz w:val="18"/>
                <w:szCs w:val="18"/>
                <w14:textFill>
                  <w14:solidFill>
                    <w14:schemeClr w14:val="tx1"/>
                  </w14:solidFill>
                </w14:textFill>
              </w:rPr>
            </w:pPr>
            <w:r>
              <w:rPr>
                <w:color w:val="000000" w:themeColor="text1"/>
                <w:kern w:val="0"/>
                <w:sz w:val="18"/>
                <w:szCs w:val="18"/>
                <w14:textFill>
                  <w14:solidFill>
                    <w14:schemeClr w14:val="tx1"/>
                  </w14:solidFill>
                </w14:textFill>
              </w:rPr>
              <w:t>10</w:t>
            </w:r>
            <w:r>
              <w:rPr>
                <w:rFonts w:hint="eastAsia"/>
                <w:color w:val="000000" w:themeColor="text1"/>
                <w:kern w:val="0"/>
                <w:sz w:val="18"/>
                <w:szCs w:val="18"/>
                <w14:textFill>
                  <w14:solidFill>
                    <w14:schemeClr w14:val="tx1"/>
                  </w14:solidFill>
                </w14:textFill>
              </w:rPr>
              <w:t>）电容式电压互感器主要部件（瓷套、膨胀器、电容器单元接地端、取样阀及工具）</w:t>
            </w:r>
          </w:p>
          <w:p>
            <w:pPr>
              <w:autoSpaceDE w:val="0"/>
              <w:autoSpaceDN w:val="0"/>
              <w:adjustRightInd w:val="0"/>
              <w:spacing w:line="360" w:lineRule="auto"/>
              <w:ind w:right="105"/>
              <w:jc w:val="left"/>
              <w:rPr>
                <w:color w:val="000000" w:themeColor="text1"/>
                <w:kern w:val="0"/>
                <w:sz w:val="18"/>
                <w:szCs w:val="18"/>
                <w14:textFill>
                  <w14:solidFill>
                    <w14:schemeClr w14:val="tx1"/>
                  </w14:solidFill>
                </w14:textFill>
              </w:rPr>
            </w:pPr>
            <w:r>
              <w:rPr>
                <w:rFonts w:hint="eastAsia"/>
                <w:color w:val="000000" w:themeColor="text1"/>
                <w:kern w:val="0"/>
                <w:sz w:val="18"/>
                <w:szCs w:val="18"/>
                <w14:textFill>
                  <w14:solidFill>
                    <w14:schemeClr w14:val="tx1"/>
                  </w14:solidFill>
                </w14:textFill>
              </w:rPr>
              <w:t>等结构装配图、说明书等。</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w:t>
            </w:r>
          </w:p>
        </w:tc>
        <w:tc>
          <w:tcPr>
            <w:tcW w:w="149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图纸编号</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8.3.2</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说明书</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1）概述。</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2）电磁单元、电容分压器等不同侧面的彩色照片。</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3）运输、储存、安装、运行、检修使用说明。</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4）二次接线盒的详图。</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5）所有组、部件的规格、型号说明。</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6）其他说明资料。</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7）维护检修手册。（供应商应按照南方电网公司提供的维护检修手册模板要求提供手册，应包含维护和检修的周期、项目、方法、检验标准及易损耗品的规格尺寸等。）</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w:t>
            </w:r>
            <w:r>
              <w:rPr>
                <w:color w:val="000000" w:themeColor="text1"/>
                <w:sz w:val="18"/>
                <w:szCs w:val="18"/>
                <w14:textFill>
                  <w14:solidFill>
                    <w14:schemeClr w14:val="tx1"/>
                  </w14:solidFill>
                </w14:textFill>
              </w:rPr>
              <w:t>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8.3.3</w:t>
            </w:r>
          </w:p>
        </w:tc>
        <w:tc>
          <w:tcPr>
            <w:tcW w:w="6234" w:type="dxa"/>
            <w:vAlign w:val="center"/>
          </w:tcPr>
          <w:p>
            <w:pPr>
              <w:adjustRightInd w:val="0"/>
              <w:snapToGrid w:val="0"/>
              <w:spacing w:line="360" w:lineRule="auto"/>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试验检验报告应包括以下内容</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供应商应提供所选用主要附件及原材料的试验检验报告，并列出应该做的试验所遵从的标准。其中主要附件包括：</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）电压互感器试验报告，包括型式、例行试验报告。</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）主要原材料，如电容器纸、电容器油、铝箔、聚丙烯薄膜、电磁单元用绝缘油、硅钢片、密封件、导线等的试验报告或合格证书。</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）主要组件，如避雷器、速饱和电抗器、阻尼电阻等的试验报告或合格证书。</w:t>
            </w:r>
          </w:p>
          <w:p>
            <w:pPr>
              <w:adjustRightInd w:val="0"/>
              <w:snapToGrid w:val="0"/>
              <w:spacing w:line="360" w:lineRule="auto"/>
              <w:ind w:firstLine="360" w:firstLineChars="200"/>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）计算报告（包括短时电流耐受能力计算报告、</w:t>
            </w:r>
            <w:r>
              <w:rPr>
                <w:color w:val="000000" w:themeColor="text1"/>
                <w:sz w:val="18"/>
                <w:szCs w:val="18"/>
                <w14:textFill>
                  <w14:solidFill>
                    <w14:schemeClr w14:val="tx1"/>
                  </w14:solidFill>
                </w14:textFill>
              </w:rPr>
              <w:t>500kV</w:t>
            </w:r>
            <w:r>
              <w:rPr>
                <w:rFonts w:hint="eastAsia"/>
                <w:color w:val="000000" w:themeColor="text1"/>
                <w:sz w:val="18"/>
                <w:szCs w:val="18"/>
                <w14:textFill>
                  <w14:solidFill>
                    <w14:schemeClr w14:val="tx1"/>
                  </w14:solidFill>
                </w14:textFill>
              </w:rPr>
              <w:t>设备抗风能力的计算报告和抗震能力计算报告）。</w:t>
            </w:r>
          </w:p>
          <w:p>
            <w:pPr>
              <w:rPr>
                <w:color w:val="000000" w:themeColor="text1"/>
                <w:sz w:val="18"/>
                <w:szCs w:val="18"/>
                <w14:textFill>
                  <w14:solidFill>
                    <w14:schemeClr w14:val="tx1"/>
                  </w14:solidFill>
                </w14:textFill>
              </w:rPr>
            </w:pP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w:t>
            </w:r>
            <w:r>
              <w:rPr>
                <w:color w:val="000000" w:themeColor="text1"/>
                <w:sz w:val="18"/>
                <w:szCs w:val="18"/>
                <w14:textFill>
                  <w14:solidFill>
                    <w14:schemeClr w14:val="tx1"/>
                  </w14:solidFill>
                </w14:textFill>
              </w:rPr>
              <w:t>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9</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监造、标识、包装、储存、运输、安装及质量保证</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keepNext/>
              <w:keepLines/>
              <w:numPr>
                <w:ilvl w:val="0"/>
                <w:numId w:val="1"/>
              </w:numPr>
              <w:tabs>
                <w:tab w:val="left" w:pos="1276"/>
                <w:tab w:val="clear" w:pos="425"/>
              </w:tabs>
              <w:topLinePunct/>
              <w:adjustRightInd w:val="0"/>
              <w:snapToGrid w:val="0"/>
              <w:spacing w:line="360" w:lineRule="auto"/>
              <w:jc w:val="center"/>
              <w:outlineLvl w:val="1"/>
              <w:rPr>
                <w:color w:val="000000" w:themeColor="text1"/>
                <w:sz w:val="18"/>
                <w:szCs w:val="18"/>
                <w14:textFill>
                  <w14:solidFill>
                    <w14:schemeClr w14:val="tx1"/>
                  </w14:solidFill>
                </w14:textFill>
              </w:rPr>
            </w:pPr>
            <w:bookmarkStart w:id="238" w:name="_Toc22390031"/>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2</w:t>
            </w:r>
            <w:bookmarkEnd w:id="238"/>
          </w:p>
        </w:tc>
        <w:tc>
          <w:tcPr>
            <w:tcW w:w="6234" w:type="dxa"/>
            <w:vAlign w:val="center"/>
          </w:tcPr>
          <w:p>
            <w:pPr>
              <w:keepNext/>
              <w:keepLines/>
              <w:numPr>
                <w:ilvl w:val="0"/>
                <w:numId w:val="1"/>
              </w:numPr>
              <w:tabs>
                <w:tab w:val="left" w:pos="1276"/>
                <w:tab w:val="clear" w:pos="425"/>
              </w:tabs>
              <w:topLinePunct/>
              <w:adjustRightInd w:val="0"/>
              <w:snapToGrid w:val="0"/>
              <w:spacing w:line="360" w:lineRule="auto"/>
              <w:outlineLvl w:val="1"/>
              <w:rPr>
                <w:color w:val="000000" w:themeColor="text1"/>
                <w:sz w:val="18"/>
                <w:szCs w:val="18"/>
                <w14:textFill>
                  <w14:solidFill>
                    <w14:schemeClr w14:val="tx1"/>
                  </w14:solidFill>
                </w14:textFill>
              </w:rPr>
            </w:pPr>
            <w:bookmarkStart w:id="239" w:name="_Toc22390032"/>
            <w:r>
              <w:rPr>
                <w:rFonts w:hint="eastAsia"/>
                <w:color w:val="000000" w:themeColor="text1"/>
                <w:sz w:val="18"/>
                <w:szCs w:val="18"/>
                <w14:textFill>
                  <w14:solidFill>
                    <w14:schemeClr w14:val="tx1"/>
                  </w14:solidFill>
                </w14:textFill>
              </w:rPr>
              <w:t>标识</w:t>
            </w:r>
            <w:bookmarkEnd w:id="239"/>
          </w:p>
          <w:p>
            <w:pPr>
              <w:keepNext/>
              <w:keepLines/>
              <w:numPr>
                <w:ilvl w:val="0"/>
                <w:numId w:val="1"/>
              </w:numPr>
              <w:tabs>
                <w:tab w:val="left" w:pos="1276"/>
                <w:tab w:val="clear" w:pos="425"/>
              </w:tabs>
              <w:topLinePunct/>
              <w:adjustRightInd w:val="0"/>
              <w:snapToGrid w:val="0"/>
              <w:spacing w:line="360" w:lineRule="auto"/>
              <w:outlineLvl w:val="1"/>
              <w:rPr>
                <w:color w:val="000000" w:themeColor="text1"/>
                <w:sz w:val="18"/>
                <w:szCs w:val="18"/>
                <w14:textFill>
                  <w14:solidFill>
                    <w14:schemeClr w14:val="tx1"/>
                  </w14:solidFill>
                </w14:textFill>
              </w:rPr>
            </w:pPr>
            <w:bookmarkStart w:id="240" w:name="_Toc22390033"/>
            <w:r>
              <w:rPr>
                <w:rFonts w:hint="eastAsia"/>
                <w:color w:val="000000" w:themeColor="text1"/>
                <w:sz w:val="18"/>
                <w:szCs w:val="18"/>
                <w14:textFill>
                  <w14:solidFill>
                    <w14:schemeClr w14:val="tx1"/>
                  </w14:solidFill>
                </w14:textFill>
              </w:rPr>
              <w:t>应根据产品情况明确原材料及零部件的标识，内容一般包括生产厂家、生产日期、保质期、批号等信息。</w:t>
            </w:r>
            <w:bookmarkEnd w:id="240"/>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图纸</w:t>
            </w:r>
          </w:p>
        </w:tc>
        <w:tc>
          <w:tcPr>
            <w:tcW w:w="149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图纸编号</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9.</w:t>
            </w:r>
            <w:r>
              <w:rPr>
                <w:color w:val="000000" w:themeColor="text1"/>
                <w:sz w:val="18"/>
                <w:szCs w:val="18"/>
                <w14:textFill>
                  <w14:solidFill>
                    <w14:schemeClr w14:val="tx1"/>
                  </w14:solidFill>
                </w14:textFill>
              </w:rPr>
              <w:t>3</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储存与运输</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制造厂应充分考虑运输条件及路、桥运输重量，并应编制运输方案、确定最大单件的尺寸及运输单重。</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技术</w:t>
            </w:r>
            <w:r>
              <w:rPr>
                <w:color w:val="000000" w:themeColor="text1"/>
                <w:sz w:val="18"/>
                <w:szCs w:val="18"/>
                <w14:textFill>
                  <w14:solidFill>
                    <w14:schemeClr w14:val="tx1"/>
                  </w14:solidFill>
                </w14:textFill>
              </w:rPr>
              <w:t>报告</w:t>
            </w:r>
          </w:p>
        </w:tc>
        <w:tc>
          <w:tcPr>
            <w:tcW w:w="149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文件编号/文件</w:t>
            </w:r>
            <w:r>
              <w:rPr>
                <w:color w:val="000000" w:themeColor="text1"/>
                <w:sz w:val="18"/>
                <w:szCs w:val="18"/>
                <w14:textFill>
                  <w14:solidFill>
                    <w14:schemeClr w14:val="tx1"/>
                  </w14:solidFill>
                </w14:textFill>
              </w:rPr>
              <w:t>起止页码</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11</w:t>
            </w:r>
          </w:p>
        </w:tc>
        <w:tc>
          <w:tcPr>
            <w:tcW w:w="6234" w:type="dxa"/>
            <w:vAlign w:val="center"/>
          </w:tcPr>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一次、二次及土建接口要求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p>
        </w:tc>
        <w:tc>
          <w:tcPr>
            <w:tcW w:w="1490" w:type="dxa"/>
            <w:vAlign w:val="center"/>
          </w:tcPr>
          <w:p>
            <w:pPr>
              <w:jc w:val="center"/>
              <w:rPr>
                <w:color w:val="000000" w:themeColor="text1"/>
                <w:sz w:val="18"/>
                <w:szCs w:val="18"/>
                <w14:textFill>
                  <w14:solidFill>
                    <w14:schemeClr w14:val="tx1"/>
                  </w14:solidFill>
                </w14:textFill>
              </w:rPr>
            </w:pP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5" w:type="dxa"/>
            <w:vAlign w:val="center"/>
          </w:tcPr>
          <w:p>
            <w:pPr>
              <w:rPr>
                <w:color w:val="000000" w:themeColor="text1"/>
                <w:sz w:val="18"/>
                <w:szCs w:val="18"/>
                <w14:textFill>
                  <w14:solidFill>
                    <w14:schemeClr w14:val="tx1"/>
                  </w14:solidFill>
                </w14:textFill>
              </w:rPr>
            </w:pPr>
          </w:p>
        </w:tc>
        <w:tc>
          <w:tcPr>
            <w:tcW w:w="6234" w:type="dxa"/>
            <w:vAlign w:val="center"/>
          </w:tcPr>
          <w:p>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1</w:t>
            </w:r>
            <w:r>
              <w:rPr>
                <w:rFonts w:hint="eastAsia"/>
                <w:color w:val="000000" w:themeColor="text1"/>
                <w:sz w:val="18"/>
                <w:szCs w:val="18"/>
                <w14:textFill>
                  <w14:solidFill>
                    <w14:schemeClr w14:val="tx1"/>
                  </w14:solidFill>
                </w14:textFill>
              </w:rPr>
              <w:t>）电气一次接口</w:t>
            </w:r>
          </w:p>
          <w:p>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2</w:t>
            </w:r>
            <w:r>
              <w:rPr>
                <w:rFonts w:hint="eastAsia"/>
                <w:color w:val="000000" w:themeColor="text1"/>
                <w:sz w:val="18"/>
                <w:szCs w:val="18"/>
                <w14:textFill>
                  <w14:solidFill>
                    <w14:schemeClr w14:val="tx1"/>
                  </w14:solidFill>
                </w14:textFill>
              </w:rPr>
              <w:t>）电气二次接口</w:t>
            </w:r>
          </w:p>
          <w:p>
            <w:pP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3</w:t>
            </w:r>
            <w:r>
              <w:rPr>
                <w:rFonts w:hint="eastAsia"/>
                <w:color w:val="000000" w:themeColor="text1"/>
                <w:sz w:val="18"/>
                <w:szCs w:val="18"/>
                <w14:textFill>
                  <w14:solidFill>
                    <w14:schemeClr w14:val="tx1"/>
                  </w14:solidFill>
                </w14:textFill>
              </w:rPr>
              <w:t>）控制与站用电源</w:t>
            </w:r>
          </w:p>
          <w:p>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满足技术规范书通用部分</w:t>
            </w:r>
            <w:r>
              <w:rPr>
                <w:color w:val="000000" w:themeColor="text1"/>
                <w:sz w:val="18"/>
                <w:szCs w:val="18"/>
                <w14:textFill>
                  <w14:solidFill>
                    <w14:schemeClr w14:val="tx1"/>
                  </w14:solidFill>
                </w14:textFill>
              </w:rPr>
              <w:t>10</w:t>
            </w:r>
            <w:r>
              <w:rPr>
                <w:rFonts w:hint="eastAsia"/>
                <w:color w:val="000000" w:themeColor="text1"/>
                <w:sz w:val="18"/>
                <w:szCs w:val="18"/>
                <w14:textFill>
                  <w14:solidFill>
                    <w14:schemeClr w14:val="tx1"/>
                  </w14:solidFill>
                </w14:textFill>
              </w:rPr>
              <w:t>条对应要求。</w:t>
            </w:r>
          </w:p>
        </w:tc>
        <w:tc>
          <w:tcPr>
            <w:tcW w:w="1203" w:type="dxa"/>
            <w:vAlign w:val="center"/>
          </w:tcPr>
          <w:p>
            <w:pPr>
              <w:jc w:val="center"/>
              <w:rPr>
                <w:color w:val="000000" w:themeColor="text1"/>
                <w:sz w:val="18"/>
                <w:szCs w:val="18"/>
                <w14:textFill>
                  <w14:solidFill>
                    <w14:schemeClr w14:val="tx1"/>
                  </w14:solidFill>
                </w14:textFill>
              </w:rPr>
            </w:pPr>
          </w:p>
        </w:tc>
        <w:tc>
          <w:tcPr>
            <w:tcW w:w="1560" w:type="dxa"/>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图纸</w:t>
            </w:r>
          </w:p>
        </w:tc>
        <w:tc>
          <w:tcPr>
            <w:tcW w:w="1490" w:type="dxa"/>
            <w:vAlign w:val="center"/>
          </w:tcPr>
          <w:p>
            <w:pPr>
              <w:jc w:val="center"/>
              <w:rPr>
                <w:color w:val="000000" w:themeColor="text1"/>
                <w:sz w:val="18"/>
                <w:szCs w:val="18"/>
                <w14:textFill>
                  <w14:solidFill>
                    <w14:schemeClr w14:val="tx1"/>
                  </w14:solidFill>
                </w14:textFill>
              </w:rPr>
            </w:pPr>
            <w:r>
              <w:rPr>
                <w:color w:val="000000" w:themeColor="text1"/>
                <w:sz w:val="18"/>
                <w:szCs w:val="18"/>
                <w14:textFill>
                  <w14:solidFill>
                    <w14:schemeClr w14:val="tx1"/>
                  </w14:solidFill>
                </w14:textFill>
              </w:rPr>
              <w:t>图纸编号</w:t>
            </w:r>
          </w:p>
        </w:tc>
        <w:tc>
          <w:tcPr>
            <w:tcW w:w="1559" w:type="dxa"/>
            <w:vAlign w:val="center"/>
          </w:tcPr>
          <w:p>
            <w:pPr>
              <w:jc w:val="center"/>
              <w:rPr>
                <w:color w:val="000000" w:themeColor="text1"/>
                <w:sz w:val="18"/>
                <w:szCs w:val="18"/>
                <w14:textFill>
                  <w14:solidFill>
                    <w14:schemeClr w14:val="tx1"/>
                  </w14:solidFill>
                </w14:textFill>
              </w:rPr>
            </w:pPr>
          </w:p>
        </w:tc>
        <w:tc>
          <w:tcPr>
            <w:tcW w:w="1276" w:type="dxa"/>
            <w:vAlign w:val="center"/>
          </w:tcPr>
          <w:p>
            <w:pPr>
              <w:jc w:val="center"/>
              <w:rPr>
                <w:color w:val="000000" w:themeColor="text1"/>
                <w:sz w:val="18"/>
                <w:szCs w:val="18"/>
                <w14:textFill>
                  <w14:solidFill>
                    <w14:schemeClr w14:val="tx1"/>
                  </w14:solidFill>
                </w14:textFill>
              </w:rPr>
            </w:pPr>
          </w:p>
        </w:tc>
      </w:tr>
    </w:tbl>
    <w:p>
      <w:pPr>
        <w:rPr>
          <w:color w:val="000000" w:themeColor="text1"/>
          <w14:textFill>
            <w14:solidFill>
              <w14:schemeClr w14:val="tx1"/>
            </w14:solidFill>
          </w14:textFill>
        </w:rPr>
      </w:pPr>
    </w:p>
    <w:p>
      <w:pPr>
        <w:jc w:val="center"/>
        <w:rPr>
          <w:color w:val="000000" w:themeColor="text1"/>
          <w14:textFill>
            <w14:solidFill>
              <w14:schemeClr w14:val="tx1"/>
            </w14:solidFill>
          </w14:textFill>
        </w:rPr>
      </w:pPr>
    </w:p>
    <w:p>
      <w:pPr>
        <w:jc w:val="center"/>
        <w:rPr>
          <w:color w:val="000000" w:themeColor="text1"/>
          <w14:textFill>
            <w14:solidFill>
              <w14:schemeClr w14:val="tx1"/>
            </w14:solidFill>
          </w14:textFill>
        </w:rPr>
      </w:pPr>
    </w:p>
    <w:p>
      <w:pPr>
        <w:jc w:val="center"/>
        <w:rPr>
          <w:b/>
          <w:bCs/>
          <w:color w:val="000000" w:themeColor="text1"/>
          <w:sz w:val="24"/>
          <w14:textFill>
            <w14:solidFill>
              <w14:schemeClr w14:val="tx1"/>
            </w14:solidFill>
          </w14:textFill>
        </w:rPr>
      </w:pPr>
    </w:p>
    <w:p>
      <w:pPr>
        <w:jc w:val="center"/>
        <w:rPr>
          <w:rFonts w:hint="eastAsia" w:ascii="宋体" w:hAnsi="宋体"/>
          <w:color w:val="000000" w:themeColor="text1"/>
          <w:sz w:val="36"/>
          <w:szCs w:val="36"/>
          <w14:textFill>
            <w14:solidFill>
              <w14:schemeClr w14:val="tx1"/>
            </w14:solidFill>
          </w14:textFill>
        </w:rPr>
      </w:pPr>
    </w:p>
    <w:p>
      <w:pPr>
        <w:jc w:val="center"/>
        <w:rPr>
          <w:rFonts w:ascii="宋体" w:hAnsi="宋体"/>
          <w:color w:val="000000" w:themeColor="text1"/>
          <w:sz w:val="36"/>
          <w:szCs w:val="36"/>
          <w14:textFill>
            <w14:solidFill>
              <w14:schemeClr w14:val="tx1"/>
            </w14:solidFill>
          </w14:textFill>
        </w:rPr>
      </w:pPr>
    </w:p>
    <w:p>
      <w:pPr>
        <w:rPr>
          <w:color w:val="000000" w:themeColor="text1"/>
          <w14:textFill>
            <w14:solidFill>
              <w14:schemeClr w14:val="tx1"/>
            </w14:solidFill>
          </w14:textFill>
        </w:rPr>
      </w:pPr>
    </w:p>
    <w:sectPr>
      <w:pgSz w:w="16839" w:h="11907" w:orient="landscape"/>
      <w:pgMar w:top="1701" w:right="1440" w:bottom="1701" w:left="1440" w:header="964" w:footer="737" w:gutter="0"/>
      <w:cols w:space="720"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汉仪大宋简">
    <w:altName w:val="宋体"/>
    <w:panose1 w:val="00000000000000000000"/>
    <w:charset w:val="86"/>
    <w:family w:val="modern"/>
    <w:pitch w:val="default"/>
    <w:sig w:usb0="00000000" w:usb1="00000000" w:usb2="00000012" w:usb3="00000000" w:csb0="00040000" w:csb1="00000000"/>
  </w:font>
  <w:font w:name="仿宋_GB2312">
    <w:panose1 w:val="02010609030101010101"/>
    <w:charset w:val="86"/>
    <w:family w:val="modern"/>
    <w:pitch w:val="default"/>
    <w:sig w:usb0="00000001" w:usb1="080E0000" w:usb2="00000000" w:usb3="00000000" w:csb0="00040000" w:csb1="00000000"/>
  </w:font>
  <w:font w:name="方正书宋简体">
    <w:altName w:val="宋体"/>
    <w:panose1 w:val="00000000000000000000"/>
    <w:charset w:val="86"/>
    <w:family w:val="auto"/>
    <w:pitch w:val="default"/>
    <w:sig w:usb0="00000000" w:usb1="00000000" w:usb2="0000001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Plotter">
    <w:altName w:val="Times New Roman"/>
    <w:panose1 w:val="00000000000000000000"/>
    <w:charset w:val="00"/>
    <w:family w:val="roman"/>
    <w:pitch w:val="default"/>
    <w:sig w:usb0="00000000" w:usb1="00000000" w:usb2="00000000" w:usb3="00000000" w:csb0="00000001" w:csb1="00000000"/>
  </w:font>
  <w:font w:name="华文新魏">
    <w:altName w:val="宋体"/>
    <w:panose1 w:val="02010800040101010101"/>
    <w:charset w:val="86"/>
    <w:family w:val="auto"/>
    <w:pitch w:val="default"/>
    <w:sig w:usb0="00000000" w:usb1="00000000" w:usb2="00000000" w:usb3="00000000" w:csb0="00040000" w:csb1="00000000"/>
  </w:font>
  <w:font w:name="楷体_GB2312">
    <w:altName w:val="楷体"/>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方正小标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rebuchet MS">
    <w:panose1 w:val="020B0603020202020204"/>
    <w:charset w:val="00"/>
    <w:family w:val="swiss"/>
    <w:pitch w:val="default"/>
    <w:sig w:usb0="00000687" w:usb1="00000000" w:usb2="00000000" w:usb3="00000000" w:csb0="200000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ind w:right="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framePr w:wrap="around" w:vAnchor="text" w:hAnchor="margin" w:xAlign="right" w:y="1"/>
      <w:rPr>
        <w:rStyle w:val="87"/>
      </w:rPr>
    </w:pPr>
    <w:r>
      <w:fldChar w:fldCharType="begin"/>
    </w:r>
    <w:r>
      <w:rPr>
        <w:rStyle w:val="87"/>
      </w:rPr>
      <w:instrText xml:space="preserve">PAGE  </w:instrText>
    </w:r>
    <w:r>
      <w:fldChar w:fldCharType="separate"/>
    </w:r>
    <w:r>
      <w:rPr>
        <w:rStyle w:val="87"/>
      </w:rPr>
      <w:t>2</w:t>
    </w:r>
    <w:r>
      <w:fldChar w:fldCharType="end"/>
    </w:r>
  </w:p>
  <w:p>
    <w:pPr>
      <w:pStyle w:val="52"/>
      <w:ind w:right="360"/>
      <w:jc w:val="center"/>
    </w:pPr>
    <w:r>
      <w:rPr>
        <w:kern w:val="0"/>
        <w:szCs w:val="21"/>
      </w:rPr>
      <w:t>-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533887"/>
    </w:sdtPr>
    <w:sdtContent>
      <w:p>
        <w:pPr>
          <w:pStyle w:val="52"/>
          <w:jc w:val="center"/>
        </w:pPr>
        <w:r>
          <w:fldChar w:fldCharType="begin"/>
        </w:r>
        <w:r>
          <w:instrText xml:space="preserve"> PAGE   \* MERGEFORMAT </w:instrText>
        </w:r>
        <w:r>
          <w:fldChar w:fldCharType="separate"/>
        </w:r>
        <w:r>
          <w:rPr>
            <w:lang w:val="zh-CN"/>
          </w:rPr>
          <w:t>1</w:t>
        </w:r>
        <w:r>
          <w:fldChar w:fldCharType="end"/>
        </w:r>
      </w:p>
    </w:sdtContent>
  </w:sdt>
  <w:p>
    <w:pPr>
      <w:pStyle w:val="52"/>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framePr w:wrap="around" w:vAnchor="text" w:hAnchor="page" w:x="10607" w:y="21"/>
      <w:rPr>
        <w:rStyle w:val="87"/>
      </w:rPr>
    </w:pPr>
    <w:r>
      <w:fldChar w:fldCharType="begin"/>
    </w:r>
    <w:r>
      <w:rPr>
        <w:rStyle w:val="87"/>
      </w:rPr>
      <w:instrText xml:space="preserve">PAGE  </w:instrText>
    </w:r>
    <w:r>
      <w:fldChar w:fldCharType="separate"/>
    </w:r>
    <w:r>
      <w:rPr>
        <w:rStyle w:val="87"/>
      </w:rPr>
      <w:t>24</w:t>
    </w:r>
    <w:r>
      <w:fldChar w:fldCharType="end"/>
    </w:r>
  </w:p>
  <w:p>
    <w:pPr>
      <w:pStyle w:val="52"/>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jc w:val="right"/>
    </w:pPr>
    <w:r>
      <w:fldChar w:fldCharType="begin"/>
    </w:r>
    <w:r>
      <w:instrText xml:space="preserve"> PAGE   \* MERGEFORMAT </w:instrText>
    </w:r>
    <w:r>
      <w:fldChar w:fldCharType="separate"/>
    </w:r>
    <w:r>
      <w:rPr>
        <w:lang w:val="zh-CN"/>
      </w:rPr>
      <w:t>41</w:t>
    </w:r>
    <w:r>
      <w:rPr>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framePr w:wrap="around" w:vAnchor="text" w:hAnchor="margin" w:xAlign="center" w:y="1"/>
      <w:rPr>
        <w:rStyle w:val="87"/>
      </w:rPr>
    </w:pPr>
    <w:r>
      <w:fldChar w:fldCharType="begin"/>
    </w:r>
    <w:r>
      <w:rPr>
        <w:rStyle w:val="87"/>
      </w:rPr>
      <w:instrText xml:space="preserve">PAGE  </w:instrText>
    </w:r>
    <w:r>
      <w:fldChar w:fldCharType="separate"/>
    </w:r>
    <w:r>
      <w:rPr>
        <w:rStyle w:val="87"/>
      </w:rPr>
      <w:t>30</w:t>
    </w:r>
    <w:r>
      <w:fldChar w:fldCharType="end"/>
    </w:r>
  </w:p>
  <w:p>
    <w:pPr>
      <w:pStyle w:val="52"/>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2"/>
      <w:framePr w:wrap="around" w:vAnchor="text" w:hAnchor="margin" w:xAlign="center" w:y="1"/>
      <w:rPr>
        <w:rStyle w:val="87"/>
      </w:rPr>
    </w:pPr>
    <w:r>
      <w:fldChar w:fldCharType="begin"/>
    </w:r>
    <w:r>
      <w:rPr>
        <w:rStyle w:val="87"/>
      </w:rPr>
      <w:instrText xml:space="preserve">PAGE  </w:instrText>
    </w:r>
    <w:r>
      <w:fldChar w:fldCharType="separate"/>
    </w:r>
    <w:r>
      <w:rPr>
        <w:rStyle w:val="87"/>
      </w:rPr>
      <w:t>36</w:t>
    </w:r>
    <w:r>
      <w:fldChar w:fldCharType="end"/>
    </w:r>
  </w:p>
  <w:p>
    <w:pPr>
      <w:pStyle w:val="5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rPr>
        <w:rFonts w:hint="eastAsia"/>
      </w:rPr>
      <w:t>110kV-500kV油浸电容式电压互感器技术规范书（通用部分）</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rPr>
        <w:rFonts w:hint="eastAsia"/>
      </w:rPr>
      <w:t>110kV-500kV油浸电容式电压互感器标准技术规范书（通用部分）</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4"/>
    </w:pPr>
    <w:r>
      <w:rPr>
        <w:rFonts w:hint="eastAsia"/>
      </w:rPr>
      <w:t>110kV-500kV油浸电容式电压互感器技术规范书（通用部分）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6"/>
    <w:multiLevelType w:val="multilevel"/>
    <w:tmpl w:val="00000016"/>
    <w:lvl w:ilvl="0" w:tentative="0">
      <w:start w:val="1"/>
      <w:numFmt w:val="none"/>
      <w:pStyle w:val="4"/>
      <w:lvlText w:val="11"/>
      <w:lvlJc w:val="left"/>
      <w:pPr>
        <w:tabs>
          <w:tab w:val="left" w:pos="425"/>
        </w:tabs>
        <w:ind w:left="0" w:firstLine="0"/>
      </w:pPr>
      <w:rPr>
        <w:rFonts w:hint="eastAsia"/>
      </w:rPr>
    </w:lvl>
    <w:lvl w:ilvl="1" w:tentative="0">
      <w:start w:val="1"/>
      <w:numFmt w:val="upperLetter"/>
      <w:pStyle w:val="5"/>
      <w:lvlText w:val="%2."/>
      <w:lvlJc w:val="left"/>
      <w:pPr>
        <w:tabs>
          <w:tab w:val="left" w:pos="1276"/>
        </w:tabs>
        <w:ind w:left="851" w:firstLine="0"/>
      </w:pPr>
      <w:rPr>
        <w:rFonts w:hint="eastAsia"/>
      </w:rPr>
    </w:lvl>
    <w:lvl w:ilvl="2" w:tentative="0">
      <w:start w:val="1"/>
      <w:numFmt w:val="decimal"/>
      <w:pStyle w:val="6"/>
      <w:lvlText w:val="%3."/>
      <w:lvlJc w:val="left"/>
      <w:pPr>
        <w:tabs>
          <w:tab w:val="left" w:pos="2126"/>
        </w:tabs>
        <w:ind w:left="1701" w:firstLine="0"/>
      </w:pPr>
      <w:rPr>
        <w:rFonts w:hint="eastAsia"/>
      </w:rPr>
    </w:lvl>
    <w:lvl w:ilvl="3" w:tentative="0">
      <w:start w:val="1"/>
      <w:numFmt w:val="lowerLetter"/>
      <w:lvlText w:val="%4)"/>
      <w:lvlJc w:val="left"/>
      <w:pPr>
        <w:tabs>
          <w:tab w:val="left" w:pos="2976"/>
        </w:tabs>
        <w:ind w:left="2551" w:firstLine="0"/>
      </w:pPr>
      <w:rPr>
        <w:rFonts w:hint="eastAsia"/>
      </w:rPr>
    </w:lvl>
    <w:lvl w:ilvl="4" w:tentative="0">
      <w:start w:val="1"/>
      <w:numFmt w:val="decimal"/>
      <w:lvlText w:val="(%5)"/>
      <w:lvlJc w:val="left"/>
      <w:pPr>
        <w:tabs>
          <w:tab w:val="left" w:pos="3827"/>
        </w:tabs>
        <w:ind w:left="3402" w:firstLine="0"/>
      </w:pPr>
      <w:rPr>
        <w:rFonts w:hint="eastAsia"/>
      </w:rPr>
    </w:lvl>
    <w:lvl w:ilvl="5" w:tentative="0">
      <w:start w:val="1"/>
      <w:numFmt w:val="lowerLetter"/>
      <w:lvlText w:val="(%6)"/>
      <w:lvlJc w:val="left"/>
      <w:pPr>
        <w:tabs>
          <w:tab w:val="left" w:pos="4677"/>
        </w:tabs>
        <w:ind w:left="4252" w:firstLine="0"/>
      </w:pPr>
      <w:rPr>
        <w:rFonts w:hint="eastAsia"/>
      </w:rPr>
    </w:lvl>
    <w:lvl w:ilvl="6" w:tentative="0">
      <w:start w:val="1"/>
      <w:numFmt w:val="lowerRoman"/>
      <w:lvlText w:val="(%7)"/>
      <w:lvlJc w:val="left"/>
      <w:pPr>
        <w:tabs>
          <w:tab w:val="left" w:pos="5528"/>
        </w:tabs>
        <w:ind w:left="5102" w:firstLine="0"/>
      </w:pPr>
      <w:rPr>
        <w:rFonts w:hint="eastAsia"/>
      </w:rPr>
    </w:lvl>
    <w:lvl w:ilvl="7" w:tentative="0">
      <w:start w:val="1"/>
      <w:numFmt w:val="lowerLetter"/>
      <w:lvlText w:val="(%8)"/>
      <w:lvlJc w:val="left"/>
      <w:pPr>
        <w:tabs>
          <w:tab w:val="left" w:pos="6378"/>
        </w:tabs>
        <w:ind w:left="5953" w:firstLine="0"/>
      </w:pPr>
      <w:rPr>
        <w:rFonts w:hint="eastAsia"/>
      </w:rPr>
    </w:lvl>
    <w:lvl w:ilvl="8" w:tentative="0">
      <w:start w:val="1"/>
      <w:numFmt w:val="lowerRoman"/>
      <w:lvlText w:val="(%9)"/>
      <w:lvlJc w:val="left"/>
      <w:pPr>
        <w:tabs>
          <w:tab w:val="left" w:pos="7228"/>
        </w:tabs>
        <w:ind w:left="6803"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I2MjlkOGMzYWRkYzMxN2ZmY2EzZTEwYmZiYWYxMjcifQ=="/>
  </w:docVars>
  <w:rsids>
    <w:rsidRoot w:val="003736B2"/>
    <w:rsid w:val="00000311"/>
    <w:rsid w:val="00000450"/>
    <w:rsid w:val="000007D0"/>
    <w:rsid w:val="00000A26"/>
    <w:rsid w:val="00000C89"/>
    <w:rsid w:val="00001406"/>
    <w:rsid w:val="00001640"/>
    <w:rsid w:val="00001B2C"/>
    <w:rsid w:val="00001D3E"/>
    <w:rsid w:val="000020E6"/>
    <w:rsid w:val="0000247A"/>
    <w:rsid w:val="0000258F"/>
    <w:rsid w:val="000025D3"/>
    <w:rsid w:val="00002900"/>
    <w:rsid w:val="00002BB3"/>
    <w:rsid w:val="00002DA7"/>
    <w:rsid w:val="00003920"/>
    <w:rsid w:val="00003D7B"/>
    <w:rsid w:val="00003D83"/>
    <w:rsid w:val="00003F6A"/>
    <w:rsid w:val="0000405B"/>
    <w:rsid w:val="00004315"/>
    <w:rsid w:val="0000467C"/>
    <w:rsid w:val="00004B35"/>
    <w:rsid w:val="0000507D"/>
    <w:rsid w:val="000052A5"/>
    <w:rsid w:val="00005378"/>
    <w:rsid w:val="000058A0"/>
    <w:rsid w:val="00005938"/>
    <w:rsid w:val="00005C90"/>
    <w:rsid w:val="00006EBA"/>
    <w:rsid w:val="00006FD4"/>
    <w:rsid w:val="0000719D"/>
    <w:rsid w:val="000076D9"/>
    <w:rsid w:val="00007B3B"/>
    <w:rsid w:val="00007F25"/>
    <w:rsid w:val="0001023F"/>
    <w:rsid w:val="000104B1"/>
    <w:rsid w:val="00010640"/>
    <w:rsid w:val="0001089A"/>
    <w:rsid w:val="00010B6E"/>
    <w:rsid w:val="0001180F"/>
    <w:rsid w:val="0001198A"/>
    <w:rsid w:val="000121D7"/>
    <w:rsid w:val="000123A2"/>
    <w:rsid w:val="00012725"/>
    <w:rsid w:val="00012A9B"/>
    <w:rsid w:val="00012B4E"/>
    <w:rsid w:val="0001315B"/>
    <w:rsid w:val="000133E6"/>
    <w:rsid w:val="0001358F"/>
    <w:rsid w:val="00013732"/>
    <w:rsid w:val="000137E9"/>
    <w:rsid w:val="00013B31"/>
    <w:rsid w:val="00013D15"/>
    <w:rsid w:val="00013EDB"/>
    <w:rsid w:val="000143B1"/>
    <w:rsid w:val="00014434"/>
    <w:rsid w:val="000145DA"/>
    <w:rsid w:val="000146AA"/>
    <w:rsid w:val="000146B2"/>
    <w:rsid w:val="00014E09"/>
    <w:rsid w:val="00014ED4"/>
    <w:rsid w:val="00015045"/>
    <w:rsid w:val="0001507A"/>
    <w:rsid w:val="000150A3"/>
    <w:rsid w:val="000153A7"/>
    <w:rsid w:val="00016748"/>
    <w:rsid w:val="00016D7E"/>
    <w:rsid w:val="000174A6"/>
    <w:rsid w:val="00017A6A"/>
    <w:rsid w:val="00017C5C"/>
    <w:rsid w:val="00020223"/>
    <w:rsid w:val="00020560"/>
    <w:rsid w:val="00020747"/>
    <w:rsid w:val="00020A16"/>
    <w:rsid w:val="00020AF0"/>
    <w:rsid w:val="00020D8B"/>
    <w:rsid w:val="00020DB2"/>
    <w:rsid w:val="00020E45"/>
    <w:rsid w:val="00020F99"/>
    <w:rsid w:val="00021024"/>
    <w:rsid w:val="0002102F"/>
    <w:rsid w:val="00021448"/>
    <w:rsid w:val="00021540"/>
    <w:rsid w:val="00021954"/>
    <w:rsid w:val="000219D2"/>
    <w:rsid w:val="00021CD8"/>
    <w:rsid w:val="00021DAD"/>
    <w:rsid w:val="000222AC"/>
    <w:rsid w:val="000223DE"/>
    <w:rsid w:val="000223DF"/>
    <w:rsid w:val="00022522"/>
    <w:rsid w:val="00022C2E"/>
    <w:rsid w:val="00022C80"/>
    <w:rsid w:val="00022E55"/>
    <w:rsid w:val="000231A2"/>
    <w:rsid w:val="00023352"/>
    <w:rsid w:val="00023C65"/>
    <w:rsid w:val="00023D27"/>
    <w:rsid w:val="00023DF5"/>
    <w:rsid w:val="00024445"/>
    <w:rsid w:val="00024536"/>
    <w:rsid w:val="00024900"/>
    <w:rsid w:val="00024D49"/>
    <w:rsid w:val="00025432"/>
    <w:rsid w:val="00025E15"/>
    <w:rsid w:val="00025EC1"/>
    <w:rsid w:val="00026116"/>
    <w:rsid w:val="00026397"/>
    <w:rsid w:val="0002673F"/>
    <w:rsid w:val="000268A4"/>
    <w:rsid w:val="00026ABA"/>
    <w:rsid w:val="00026B00"/>
    <w:rsid w:val="00027716"/>
    <w:rsid w:val="000301E2"/>
    <w:rsid w:val="00030289"/>
    <w:rsid w:val="000304A9"/>
    <w:rsid w:val="000305C7"/>
    <w:rsid w:val="0003075C"/>
    <w:rsid w:val="00030833"/>
    <w:rsid w:val="00030ABD"/>
    <w:rsid w:val="00030ED8"/>
    <w:rsid w:val="00031206"/>
    <w:rsid w:val="00031771"/>
    <w:rsid w:val="00031774"/>
    <w:rsid w:val="00031930"/>
    <w:rsid w:val="00031B70"/>
    <w:rsid w:val="00031CEF"/>
    <w:rsid w:val="00032076"/>
    <w:rsid w:val="000322D0"/>
    <w:rsid w:val="000323DF"/>
    <w:rsid w:val="000324B5"/>
    <w:rsid w:val="000328B5"/>
    <w:rsid w:val="00032E84"/>
    <w:rsid w:val="00032FD8"/>
    <w:rsid w:val="00033135"/>
    <w:rsid w:val="000333E7"/>
    <w:rsid w:val="0003345B"/>
    <w:rsid w:val="00033569"/>
    <w:rsid w:val="00033A00"/>
    <w:rsid w:val="00033E4C"/>
    <w:rsid w:val="00033ED1"/>
    <w:rsid w:val="00033F65"/>
    <w:rsid w:val="000342BD"/>
    <w:rsid w:val="0003462D"/>
    <w:rsid w:val="000353BD"/>
    <w:rsid w:val="0003559B"/>
    <w:rsid w:val="000355AD"/>
    <w:rsid w:val="00035604"/>
    <w:rsid w:val="0003561A"/>
    <w:rsid w:val="0003593F"/>
    <w:rsid w:val="00035970"/>
    <w:rsid w:val="00036159"/>
    <w:rsid w:val="00036A3D"/>
    <w:rsid w:val="00036B27"/>
    <w:rsid w:val="00036C27"/>
    <w:rsid w:val="00037189"/>
    <w:rsid w:val="00037BBF"/>
    <w:rsid w:val="00037F13"/>
    <w:rsid w:val="000403E2"/>
    <w:rsid w:val="00040545"/>
    <w:rsid w:val="000407B9"/>
    <w:rsid w:val="0004081B"/>
    <w:rsid w:val="00040898"/>
    <w:rsid w:val="000408F1"/>
    <w:rsid w:val="00040AF0"/>
    <w:rsid w:val="00040B6E"/>
    <w:rsid w:val="00040DA2"/>
    <w:rsid w:val="000414B4"/>
    <w:rsid w:val="00041604"/>
    <w:rsid w:val="00041805"/>
    <w:rsid w:val="00041C8E"/>
    <w:rsid w:val="000421A0"/>
    <w:rsid w:val="000423A9"/>
    <w:rsid w:val="00042483"/>
    <w:rsid w:val="0004267B"/>
    <w:rsid w:val="000429AC"/>
    <w:rsid w:val="00042A93"/>
    <w:rsid w:val="00042E80"/>
    <w:rsid w:val="00042FB1"/>
    <w:rsid w:val="000433C9"/>
    <w:rsid w:val="0004353D"/>
    <w:rsid w:val="000446FF"/>
    <w:rsid w:val="00044A25"/>
    <w:rsid w:val="00044C55"/>
    <w:rsid w:val="00044D24"/>
    <w:rsid w:val="00044EA0"/>
    <w:rsid w:val="00044FAC"/>
    <w:rsid w:val="000450EE"/>
    <w:rsid w:val="000455FF"/>
    <w:rsid w:val="000456B2"/>
    <w:rsid w:val="000458CA"/>
    <w:rsid w:val="000459B6"/>
    <w:rsid w:val="000462B8"/>
    <w:rsid w:val="00046902"/>
    <w:rsid w:val="0004693C"/>
    <w:rsid w:val="000471E5"/>
    <w:rsid w:val="0004732E"/>
    <w:rsid w:val="0004783E"/>
    <w:rsid w:val="00047C3A"/>
    <w:rsid w:val="000501AA"/>
    <w:rsid w:val="0005023D"/>
    <w:rsid w:val="000503C8"/>
    <w:rsid w:val="00050506"/>
    <w:rsid w:val="00050BFF"/>
    <w:rsid w:val="00050C6E"/>
    <w:rsid w:val="00050F51"/>
    <w:rsid w:val="0005102A"/>
    <w:rsid w:val="00051278"/>
    <w:rsid w:val="000516C0"/>
    <w:rsid w:val="00051A10"/>
    <w:rsid w:val="00051CC4"/>
    <w:rsid w:val="00052407"/>
    <w:rsid w:val="0005245F"/>
    <w:rsid w:val="00052CCA"/>
    <w:rsid w:val="000530B7"/>
    <w:rsid w:val="000533CE"/>
    <w:rsid w:val="000534DE"/>
    <w:rsid w:val="00053672"/>
    <w:rsid w:val="0005379A"/>
    <w:rsid w:val="00053F99"/>
    <w:rsid w:val="000547A0"/>
    <w:rsid w:val="00054B36"/>
    <w:rsid w:val="00054C02"/>
    <w:rsid w:val="00054EC1"/>
    <w:rsid w:val="0005592B"/>
    <w:rsid w:val="00055B4A"/>
    <w:rsid w:val="00055DF8"/>
    <w:rsid w:val="00056021"/>
    <w:rsid w:val="000562EF"/>
    <w:rsid w:val="00056688"/>
    <w:rsid w:val="00056D6F"/>
    <w:rsid w:val="00057838"/>
    <w:rsid w:val="00057A09"/>
    <w:rsid w:val="00057C9B"/>
    <w:rsid w:val="00057FA9"/>
    <w:rsid w:val="0006013F"/>
    <w:rsid w:val="0006016D"/>
    <w:rsid w:val="0006062B"/>
    <w:rsid w:val="000606F9"/>
    <w:rsid w:val="000607B7"/>
    <w:rsid w:val="0006120B"/>
    <w:rsid w:val="00061235"/>
    <w:rsid w:val="00061911"/>
    <w:rsid w:val="00061C68"/>
    <w:rsid w:val="00061DE8"/>
    <w:rsid w:val="00061E96"/>
    <w:rsid w:val="000622C8"/>
    <w:rsid w:val="00062514"/>
    <w:rsid w:val="00062610"/>
    <w:rsid w:val="000627B0"/>
    <w:rsid w:val="00062854"/>
    <w:rsid w:val="00062B0B"/>
    <w:rsid w:val="00062B0F"/>
    <w:rsid w:val="00062FCB"/>
    <w:rsid w:val="0006322F"/>
    <w:rsid w:val="00063474"/>
    <w:rsid w:val="00063656"/>
    <w:rsid w:val="000636DC"/>
    <w:rsid w:val="000638D3"/>
    <w:rsid w:val="000639EE"/>
    <w:rsid w:val="00063CFD"/>
    <w:rsid w:val="00063EFD"/>
    <w:rsid w:val="00064272"/>
    <w:rsid w:val="000645BD"/>
    <w:rsid w:val="000647FA"/>
    <w:rsid w:val="00064970"/>
    <w:rsid w:val="00064985"/>
    <w:rsid w:val="00064D25"/>
    <w:rsid w:val="0006553F"/>
    <w:rsid w:val="00065A3C"/>
    <w:rsid w:val="00066501"/>
    <w:rsid w:val="00066851"/>
    <w:rsid w:val="00066C69"/>
    <w:rsid w:val="00066C9D"/>
    <w:rsid w:val="00066D10"/>
    <w:rsid w:val="00066F99"/>
    <w:rsid w:val="0006780D"/>
    <w:rsid w:val="00067A05"/>
    <w:rsid w:val="000703F6"/>
    <w:rsid w:val="0007067B"/>
    <w:rsid w:val="00070CF8"/>
    <w:rsid w:val="00071144"/>
    <w:rsid w:val="00071A9A"/>
    <w:rsid w:val="00071D51"/>
    <w:rsid w:val="00072194"/>
    <w:rsid w:val="00072A11"/>
    <w:rsid w:val="00072D55"/>
    <w:rsid w:val="00072F0D"/>
    <w:rsid w:val="0007391A"/>
    <w:rsid w:val="000739CA"/>
    <w:rsid w:val="000743B5"/>
    <w:rsid w:val="00074582"/>
    <w:rsid w:val="0007461A"/>
    <w:rsid w:val="00074774"/>
    <w:rsid w:val="00074B61"/>
    <w:rsid w:val="00074E18"/>
    <w:rsid w:val="00074F14"/>
    <w:rsid w:val="00074FA9"/>
    <w:rsid w:val="00075738"/>
    <w:rsid w:val="000757E6"/>
    <w:rsid w:val="000759CD"/>
    <w:rsid w:val="000759D6"/>
    <w:rsid w:val="00075FB7"/>
    <w:rsid w:val="000760F7"/>
    <w:rsid w:val="0007644E"/>
    <w:rsid w:val="00076903"/>
    <w:rsid w:val="00076E10"/>
    <w:rsid w:val="00077BE9"/>
    <w:rsid w:val="00077FA5"/>
    <w:rsid w:val="00080154"/>
    <w:rsid w:val="00080491"/>
    <w:rsid w:val="0008099C"/>
    <w:rsid w:val="000809DD"/>
    <w:rsid w:val="000816C4"/>
    <w:rsid w:val="00081810"/>
    <w:rsid w:val="0008194C"/>
    <w:rsid w:val="00081F1C"/>
    <w:rsid w:val="00082054"/>
    <w:rsid w:val="00082226"/>
    <w:rsid w:val="000823AA"/>
    <w:rsid w:val="000826C9"/>
    <w:rsid w:val="000826D6"/>
    <w:rsid w:val="00082891"/>
    <w:rsid w:val="00082B95"/>
    <w:rsid w:val="0008308E"/>
    <w:rsid w:val="00083A9F"/>
    <w:rsid w:val="00083B59"/>
    <w:rsid w:val="00083B93"/>
    <w:rsid w:val="00083CFD"/>
    <w:rsid w:val="00083DA7"/>
    <w:rsid w:val="00084437"/>
    <w:rsid w:val="000846D0"/>
    <w:rsid w:val="00084780"/>
    <w:rsid w:val="00084842"/>
    <w:rsid w:val="00084B7C"/>
    <w:rsid w:val="00084BDE"/>
    <w:rsid w:val="00084D9C"/>
    <w:rsid w:val="000850B1"/>
    <w:rsid w:val="00085182"/>
    <w:rsid w:val="0008533D"/>
    <w:rsid w:val="00086155"/>
    <w:rsid w:val="000861FA"/>
    <w:rsid w:val="0008657D"/>
    <w:rsid w:val="000867F4"/>
    <w:rsid w:val="00086956"/>
    <w:rsid w:val="00086BA7"/>
    <w:rsid w:val="00086E31"/>
    <w:rsid w:val="00086EE6"/>
    <w:rsid w:val="00086F62"/>
    <w:rsid w:val="000872C2"/>
    <w:rsid w:val="0008783A"/>
    <w:rsid w:val="00087A84"/>
    <w:rsid w:val="00087D96"/>
    <w:rsid w:val="00087DC5"/>
    <w:rsid w:val="00090093"/>
    <w:rsid w:val="00090EF0"/>
    <w:rsid w:val="00091003"/>
    <w:rsid w:val="0009129B"/>
    <w:rsid w:val="0009155C"/>
    <w:rsid w:val="00091977"/>
    <w:rsid w:val="000919E9"/>
    <w:rsid w:val="00091EBB"/>
    <w:rsid w:val="00091F91"/>
    <w:rsid w:val="00091FF9"/>
    <w:rsid w:val="00092002"/>
    <w:rsid w:val="0009251E"/>
    <w:rsid w:val="0009255C"/>
    <w:rsid w:val="0009257D"/>
    <w:rsid w:val="000926A0"/>
    <w:rsid w:val="00092C19"/>
    <w:rsid w:val="00092C25"/>
    <w:rsid w:val="000931E0"/>
    <w:rsid w:val="00093818"/>
    <w:rsid w:val="000938D6"/>
    <w:rsid w:val="00093933"/>
    <w:rsid w:val="00093BA8"/>
    <w:rsid w:val="00093BFA"/>
    <w:rsid w:val="000941EC"/>
    <w:rsid w:val="00094422"/>
    <w:rsid w:val="000946DD"/>
    <w:rsid w:val="0009470A"/>
    <w:rsid w:val="000947AE"/>
    <w:rsid w:val="00094B8A"/>
    <w:rsid w:val="00094C5D"/>
    <w:rsid w:val="00094D3A"/>
    <w:rsid w:val="00094F65"/>
    <w:rsid w:val="00095241"/>
    <w:rsid w:val="000956E8"/>
    <w:rsid w:val="00095897"/>
    <w:rsid w:val="00095A87"/>
    <w:rsid w:val="00095C75"/>
    <w:rsid w:val="00095CA1"/>
    <w:rsid w:val="00096066"/>
    <w:rsid w:val="00096E30"/>
    <w:rsid w:val="0009752A"/>
    <w:rsid w:val="000A00A3"/>
    <w:rsid w:val="000A02B8"/>
    <w:rsid w:val="000A037F"/>
    <w:rsid w:val="000A063D"/>
    <w:rsid w:val="000A0757"/>
    <w:rsid w:val="000A07EC"/>
    <w:rsid w:val="000A09E2"/>
    <w:rsid w:val="000A0F98"/>
    <w:rsid w:val="000A13E8"/>
    <w:rsid w:val="000A1598"/>
    <w:rsid w:val="000A162B"/>
    <w:rsid w:val="000A170E"/>
    <w:rsid w:val="000A171F"/>
    <w:rsid w:val="000A19D7"/>
    <w:rsid w:val="000A1C29"/>
    <w:rsid w:val="000A2538"/>
    <w:rsid w:val="000A27AD"/>
    <w:rsid w:val="000A28DE"/>
    <w:rsid w:val="000A36BE"/>
    <w:rsid w:val="000A36E8"/>
    <w:rsid w:val="000A3BFA"/>
    <w:rsid w:val="000A408C"/>
    <w:rsid w:val="000A4178"/>
    <w:rsid w:val="000A454D"/>
    <w:rsid w:val="000A45B5"/>
    <w:rsid w:val="000A46D1"/>
    <w:rsid w:val="000A4A19"/>
    <w:rsid w:val="000A4B22"/>
    <w:rsid w:val="000A4B37"/>
    <w:rsid w:val="000A4D7C"/>
    <w:rsid w:val="000A4E63"/>
    <w:rsid w:val="000A4F19"/>
    <w:rsid w:val="000A570C"/>
    <w:rsid w:val="000A5805"/>
    <w:rsid w:val="000A58C0"/>
    <w:rsid w:val="000A6586"/>
    <w:rsid w:val="000A65BE"/>
    <w:rsid w:val="000A69EE"/>
    <w:rsid w:val="000A6C67"/>
    <w:rsid w:val="000A6CD3"/>
    <w:rsid w:val="000A6D78"/>
    <w:rsid w:val="000A6EE7"/>
    <w:rsid w:val="000A6F1B"/>
    <w:rsid w:val="000A6F68"/>
    <w:rsid w:val="000A7305"/>
    <w:rsid w:val="000A76C6"/>
    <w:rsid w:val="000A7857"/>
    <w:rsid w:val="000B04C5"/>
    <w:rsid w:val="000B0C27"/>
    <w:rsid w:val="000B0EEA"/>
    <w:rsid w:val="000B0F08"/>
    <w:rsid w:val="000B13D1"/>
    <w:rsid w:val="000B1509"/>
    <w:rsid w:val="000B1AD7"/>
    <w:rsid w:val="000B1C6B"/>
    <w:rsid w:val="000B1FC6"/>
    <w:rsid w:val="000B217A"/>
    <w:rsid w:val="000B2F87"/>
    <w:rsid w:val="000B32BE"/>
    <w:rsid w:val="000B3B65"/>
    <w:rsid w:val="000B3BA2"/>
    <w:rsid w:val="000B3E76"/>
    <w:rsid w:val="000B4121"/>
    <w:rsid w:val="000B415D"/>
    <w:rsid w:val="000B4314"/>
    <w:rsid w:val="000B437C"/>
    <w:rsid w:val="000B48AA"/>
    <w:rsid w:val="000B4F57"/>
    <w:rsid w:val="000B5206"/>
    <w:rsid w:val="000B5835"/>
    <w:rsid w:val="000B60FF"/>
    <w:rsid w:val="000B68C2"/>
    <w:rsid w:val="000B6EE7"/>
    <w:rsid w:val="000B6F28"/>
    <w:rsid w:val="000B75AD"/>
    <w:rsid w:val="000B79CC"/>
    <w:rsid w:val="000B7FE4"/>
    <w:rsid w:val="000C002C"/>
    <w:rsid w:val="000C02BF"/>
    <w:rsid w:val="000C03E1"/>
    <w:rsid w:val="000C03FE"/>
    <w:rsid w:val="000C04E8"/>
    <w:rsid w:val="000C0FEC"/>
    <w:rsid w:val="000C1068"/>
    <w:rsid w:val="000C10EB"/>
    <w:rsid w:val="000C1405"/>
    <w:rsid w:val="000C1507"/>
    <w:rsid w:val="000C1759"/>
    <w:rsid w:val="000C17FF"/>
    <w:rsid w:val="000C19A1"/>
    <w:rsid w:val="000C24BA"/>
    <w:rsid w:val="000C26CE"/>
    <w:rsid w:val="000C2E81"/>
    <w:rsid w:val="000C2EE2"/>
    <w:rsid w:val="000C308D"/>
    <w:rsid w:val="000C3373"/>
    <w:rsid w:val="000C36A0"/>
    <w:rsid w:val="000C3845"/>
    <w:rsid w:val="000C3A50"/>
    <w:rsid w:val="000C3D65"/>
    <w:rsid w:val="000C3F7E"/>
    <w:rsid w:val="000C46D2"/>
    <w:rsid w:val="000C4722"/>
    <w:rsid w:val="000C47EA"/>
    <w:rsid w:val="000C5440"/>
    <w:rsid w:val="000C5470"/>
    <w:rsid w:val="000C5B4F"/>
    <w:rsid w:val="000C5DE4"/>
    <w:rsid w:val="000C5E7B"/>
    <w:rsid w:val="000C5F07"/>
    <w:rsid w:val="000C634B"/>
    <w:rsid w:val="000C63AE"/>
    <w:rsid w:val="000C660E"/>
    <w:rsid w:val="000C67B3"/>
    <w:rsid w:val="000C681E"/>
    <w:rsid w:val="000C69BB"/>
    <w:rsid w:val="000C723B"/>
    <w:rsid w:val="000C725B"/>
    <w:rsid w:val="000C72C7"/>
    <w:rsid w:val="000C7BC7"/>
    <w:rsid w:val="000C7F8A"/>
    <w:rsid w:val="000D0002"/>
    <w:rsid w:val="000D03F8"/>
    <w:rsid w:val="000D045D"/>
    <w:rsid w:val="000D0541"/>
    <w:rsid w:val="000D06B7"/>
    <w:rsid w:val="000D0989"/>
    <w:rsid w:val="000D0A53"/>
    <w:rsid w:val="000D0B69"/>
    <w:rsid w:val="000D0B8A"/>
    <w:rsid w:val="000D0C74"/>
    <w:rsid w:val="000D11F4"/>
    <w:rsid w:val="000D1659"/>
    <w:rsid w:val="000D1661"/>
    <w:rsid w:val="000D1B4E"/>
    <w:rsid w:val="000D1C8F"/>
    <w:rsid w:val="000D1FED"/>
    <w:rsid w:val="000D21B9"/>
    <w:rsid w:val="000D273B"/>
    <w:rsid w:val="000D2909"/>
    <w:rsid w:val="000D2A51"/>
    <w:rsid w:val="000D2C80"/>
    <w:rsid w:val="000D2CF8"/>
    <w:rsid w:val="000D2DD1"/>
    <w:rsid w:val="000D2F73"/>
    <w:rsid w:val="000D2FF9"/>
    <w:rsid w:val="000D3324"/>
    <w:rsid w:val="000D3458"/>
    <w:rsid w:val="000D3849"/>
    <w:rsid w:val="000D3F50"/>
    <w:rsid w:val="000D3F73"/>
    <w:rsid w:val="000D3FEC"/>
    <w:rsid w:val="000D4570"/>
    <w:rsid w:val="000D45BB"/>
    <w:rsid w:val="000D473A"/>
    <w:rsid w:val="000D4B24"/>
    <w:rsid w:val="000D4CBE"/>
    <w:rsid w:val="000D4E5C"/>
    <w:rsid w:val="000D51E8"/>
    <w:rsid w:val="000D536A"/>
    <w:rsid w:val="000D5397"/>
    <w:rsid w:val="000D5402"/>
    <w:rsid w:val="000D5E75"/>
    <w:rsid w:val="000D62D0"/>
    <w:rsid w:val="000D63F7"/>
    <w:rsid w:val="000D65DA"/>
    <w:rsid w:val="000D6757"/>
    <w:rsid w:val="000D6EBB"/>
    <w:rsid w:val="000D7034"/>
    <w:rsid w:val="000D763E"/>
    <w:rsid w:val="000D7ABE"/>
    <w:rsid w:val="000D7B57"/>
    <w:rsid w:val="000D7B86"/>
    <w:rsid w:val="000D7D55"/>
    <w:rsid w:val="000E020E"/>
    <w:rsid w:val="000E0933"/>
    <w:rsid w:val="000E0D0E"/>
    <w:rsid w:val="000E1396"/>
    <w:rsid w:val="000E157B"/>
    <w:rsid w:val="000E1667"/>
    <w:rsid w:val="000E1799"/>
    <w:rsid w:val="000E22CA"/>
    <w:rsid w:val="000E276C"/>
    <w:rsid w:val="000E2808"/>
    <w:rsid w:val="000E2E3D"/>
    <w:rsid w:val="000E2FE4"/>
    <w:rsid w:val="000E3090"/>
    <w:rsid w:val="000E34BC"/>
    <w:rsid w:val="000E3842"/>
    <w:rsid w:val="000E39B9"/>
    <w:rsid w:val="000E3F5F"/>
    <w:rsid w:val="000E3FD6"/>
    <w:rsid w:val="000E4323"/>
    <w:rsid w:val="000E444D"/>
    <w:rsid w:val="000E4A9C"/>
    <w:rsid w:val="000E4D89"/>
    <w:rsid w:val="000E50A8"/>
    <w:rsid w:val="000E536C"/>
    <w:rsid w:val="000E570B"/>
    <w:rsid w:val="000E5842"/>
    <w:rsid w:val="000E596F"/>
    <w:rsid w:val="000E5A90"/>
    <w:rsid w:val="000E656E"/>
    <w:rsid w:val="000E6A9B"/>
    <w:rsid w:val="000E70C5"/>
    <w:rsid w:val="000E7193"/>
    <w:rsid w:val="000E7279"/>
    <w:rsid w:val="000E733D"/>
    <w:rsid w:val="000E75A5"/>
    <w:rsid w:val="000E788F"/>
    <w:rsid w:val="000E7C39"/>
    <w:rsid w:val="000F13CC"/>
    <w:rsid w:val="000F14C9"/>
    <w:rsid w:val="000F1E3A"/>
    <w:rsid w:val="000F2048"/>
    <w:rsid w:val="000F2310"/>
    <w:rsid w:val="000F2718"/>
    <w:rsid w:val="000F2D61"/>
    <w:rsid w:val="000F2E2C"/>
    <w:rsid w:val="000F3343"/>
    <w:rsid w:val="000F39B6"/>
    <w:rsid w:val="000F3C28"/>
    <w:rsid w:val="000F43D7"/>
    <w:rsid w:val="000F46CE"/>
    <w:rsid w:val="000F4865"/>
    <w:rsid w:val="000F49BA"/>
    <w:rsid w:val="000F4BCF"/>
    <w:rsid w:val="000F4D1C"/>
    <w:rsid w:val="000F5206"/>
    <w:rsid w:val="000F5360"/>
    <w:rsid w:val="000F72BD"/>
    <w:rsid w:val="000F798D"/>
    <w:rsid w:val="000F7FD1"/>
    <w:rsid w:val="0010053F"/>
    <w:rsid w:val="001009BE"/>
    <w:rsid w:val="00100BCC"/>
    <w:rsid w:val="0010108B"/>
    <w:rsid w:val="001013C2"/>
    <w:rsid w:val="0010155C"/>
    <w:rsid w:val="00101D10"/>
    <w:rsid w:val="001021FA"/>
    <w:rsid w:val="00102245"/>
    <w:rsid w:val="00102314"/>
    <w:rsid w:val="00102460"/>
    <w:rsid w:val="00102D8A"/>
    <w:rsid w:val="001030B7"/>
    <w:rsid w:val="001033DD"/>
    <w:rsid w:val="00103598"/>
    <w:rsid w:val="001035C3"/>
    <w:rsid w:val="0010378A"/>
    <w:rsid w:val="00103D4F"/>
    <w:rsid w:val="00104826"/>
    <w:rsid w:val="00104AEC"/>
    <w:rsid w:val="00104E41"/>
    <w:rsid w:val="001050EE"/>
    <w:rsid w:val="00105352"/>
    <w:rsid w:val="0010540B"/>
    <w:rsid w:val="0010565A"/>
    <w:rsid w:val="00105A13"/>
    <w:rsid w:val="00105DB2"/>
    <w:rsid w:val="00105DF4"/>
    <w:rsid w:val="00106314"/>
    <w:rsid w:val="001064AB"/>
    <w:rsid w:val="00106BD2"/>
    <w:rsid w:val="00106E94"/>
    <w:rsid w:val="00106EF1"/>
    <w:rsid w:val="00106F2A"/>
    <w:rsid w:val="0010709D"/>
    <w:rsid w:val="00107131"/>
    <w:rsid w:val="00107E32"/>
    <w:rsid w:val="001100F7"/>
    <w:rsid w:val="001107A9"/>
    <w:rsid w:val="001108F0"/>
    <w:rsid w:val="00110A07"/>
    <w:rsid w:val="00111459"/>
    <w:rsid w:val="001117B8"/>
    <w:rsid w:val="00112957"/>
    <w:rsid w:val="00112D60"/>
    <w:rsid w:val="0011352E"/>
    <w:rsid w:val="00113CBB"/>
    <w:rsid w:val="001140A3"/>
    <w:rsid w:val="001143EE"/>
    <w:rsid w:val="0011458B"/>
    <w:rsid w:val="00114748"/>
    <w:rsid w:val="00114848"/>
    <w:rsid w:val="00114BC6"/>
    <w:rsid w:val="001151B8"/>
    <w:rsid w:val="001152FC"/>
    <w:rsid w:val="00115A58"/>
    <w:rsid w:val="00115AF1"/>
    <w:rsid w:val="00115B73"/>
    <w:rsid w:val="00115CCE"/>
    <w:rsid w:val="001161B3"/>
    <w:rsid w:val="001162E8"/>
    <w:rsid w:val="00116324"/>
    <w:rsid w:val="00116A3A"/>
    <w:rsid w:val="00117A06"/>
    <w:rsid w:val="00117AA3"/>
    <w:rsid w:val="00117DB0"/>
    <w:rsid w:val="0012010B"/>
    <w:rsid w:val="001201DD"/>
    <w:rsid w:val="0012083F"/>
    <w:rsid w:val="001209ED"/>
    <w:rsid w:val="00120DE0"/>
    <w:rsid w:val="00120E1A"/>
    <w:rsid w:val="00121149"/>
    <w:rsid w:val="00121321"/>
    <w:rsid w:val="0012179B"/>
    <w:rsid w:val="00121958"/>
    <w:rsid w:val="001219A5"/>
    <w:rsid w:val="00121FA6"/>
    <w:rsid w:val="00122265"/>
    <w:rsid w:val="00122562"/>
    <w:rsid w:val="00122631"/>
    <w:rsid w:val="00122E9E"/>
    <w:rsid w:val="001235B9"/>
    <w:rsid w:val="0012379E"/>
    <w:rsid w:val="00123989"/>
    <w:rsid w:val="00123A4F"/>
    <w:rsid w:val="00124411"/>
    <w:rsid w:val="001245B6"/>
    <w:rsid w:val="001247A5"/>
    <w:rsid w:val="00124930"/>
    <w:rsid w:val="00124D5B"/>
    <w:rsid w:val="00124FDB"/>
    <w:rsid w:val="0012530C"/>
    <w:rsid w:val="00125999"/>
    <w:rsid w:val="00125CBC"/>
    <w:rsid w:val="00125CCC"/>
    <w:rsid w:val="00125F15"/>
    <w:rsid w:val="00125F24"/>
    <w:rsid w:val="00125F2A"/>
    <w:rsid w:val="00126051"/>
    <w:rsid w:val="00126571"/>
    <w:rsid w:val="001268DE"/>
    <w:rsid w:val="001269E8"/>
    <w:rsid w:val="00126EA2"/>
    <w:rsid w:val="00126FB7"/>
    <w:rsid w:val="00127352"/>
    <w:rsid w:val="001273F4"/>
    <w:rsid w:val="001275A1"/>
    <w:rsid w:val="00127891"/>
    <w:rsid w:val="00127C96"/>
    <w:rsid w:val="00127DB5"/>
    <w:rsid w:val="00127F16"/>
    <w:rsid w:val="001301B3"/>
    <w:rsid w:val="00130255"/>
    <w:rsid w:val="001302F2"/>
    <w:rsid w:val="00130471"/>
    <w:rsid w:val="00130521"/>
    <w:rsid w:val="001305EE"/>
    <w:rsid w:val="00130EAD"/>
    <w:rsid w:val="001315B6"/>
    <w:rsid w:val="001317DE"/>
    <w:rsid w:val="00131925"/>
    <w:rsid w:val="00131B2A"/>
    <w:rsid w:val="0013200F"/>
    <w:rsid w:val="00132059"/>
    <w:rsid w:val="00132354"/>
    <w:rsid w:val="00132633"/>
    <w:rsid w:val="001327D5"/>
    <w:rsid w:val="00132992"/>
    <w:rsid w:val="00132A51"/>
    <w:rsid w:val="001330DB"/>
    <w:rsid w:val="001333BB"/>
    <w:rsid w:val="00133B00"/>
    <w:rsid w:val="00133CC0"/>
    <w:rsid w:val="00134227"/>
    <w:rsid w:val="00134912"/>
    <w:rsid w:val="00134F92"/>
    <w:rsid w:val="001351AD"/>
    <w:rsid w:val="001351FC"/>
    <w:rsid w:val="00135617"/>
    <w:rsid w:val="0013575D"/>
    <w:rsid w:val="00135884"/>
    <w:rsid w:val="00135B41"/>
    <w:rsid w:val="00136251"/>
    <w:rsid w:val="00136D31"/>
    <w:rsid w:val="00137B8A"/>
    <w:rsid w:val="00137FC0"/>
    <w:rsid w:val="001400B7"/>
    <w:rsid w:val="001407C7"/>
    <w:rsid w:val="00140FF6"/>
    <w:rsid w:val="001410BF"/>
    <w:rsid w:val="00141A21"/>
    <w:rsid w:val="00141A8E"/>
    <w:rsid w:val="00142131"/>
    <w:rsid w:val="00142217"/>
    <w:rsid w:val="001428FC"/>
    <w:rsid w:val="001429F5"/>
    <w:rsid w:val="00142CE9"/>
    <w:rsid w:val="00142D58"/>
    <w:rsid w:val="0014333A"/>
    <w:rsid w:val="001433C0"/>
    <w:rsid w:val="001434C5"/>
    <w:rsid w:val="00143700"/>
    <w:rsid w:val="001438C6"/>
    <w:rsid w:val="00143A69"/>
    <w:rsid w:val="00143B28"/>
    <w:rsid w:val="00143B31"/>
    <w:rsid w:val="00143B79"/>
    <w:rsid w:val="00143D52"/>
    <w:rsid w:val="001443DE"/>
    <w:rsid w:val="00144599"/>
    <w:rsid w:val="0014494F"/>
    <w:rsid w:val="00144F11"/>
    <w:rsid w:val="001450AA"/>
    <w:rsid w:val="00145838"/>
    <w:rsid w:val="00145CF3"/>
    <w:rsid w:val="00145D98"/>
    <w:rsid w:val="00146150"/>
    <w:rsid w:val="001469E1"/>
    <w:rsid w:val="00146A38"/>
    <w:rsid w:val="00146A4B"/>
    <w:rsid w:val="00146A8E"/>
    <w:rsid w:val="00146AC8"/>
    <w:rsid w:val="00147278"/>
    <w:rsid w:val="00147347"/>
    <w:rsid w:val="0014785B"/>
    <w:rsid w:val="00147941"/>
    <w:rsid w:val="00147B82"/>
    <w:rsid w:val="00147D81"/>
    <w:rsid w:val="00147E81"/>
    <w:rsid w:val="00147FA8"/>
    <w:rsid w:val="0015041C"/>
    <w:rsid w:val="0015051C"/>
    <w:rsid w:val="001507A8"/>
    <w:rsid w:val="00150AB7"/>
    <w:rsid w:val="00150FED"/>
    <w:rsid w:val="00151113"/>
    <w:rsid w:val="00151585"/>
    <w:rsid w:val="00151630"/>
    <w:rsid w:val="00151756"/>
    <w:rsid w:val="001517F5"/>
    <w:rsid w:val="00151965"/>
    <w:rsid w:val="00151D12"/>
    <w:rsid w:val="001521A4"/>
    <w:rsid w:val="00152900"/>
    <w:rsid w:val="001531E4"/>
    <w:rsid w:val="001534EC"/>
    <w:rsid w:val="0015362A"/>
    <w:rsid w:val="001537C9"/>
    <w:rsid w:val="0015392A"/>
    <w:rsid w:val="001544AC"/>
    <w:rsid w:val="001546F1"/>
    <w:rsid w:val="0015489C"/>
    <w:rsid w:val="001549D9"/>
    <w:rsid w:val="00154D3D"/>
    <w:rsid w:val="00154F66"/>
    <w:rsid w:val="00155064"/>
    <w:rsid w:val="00155271"/>
    <w:rsid w:val="001556B4"/>
    <w:rsid w:val="001559A3"/>
    <w:rsid w:val="00155AD2"/>
    <w:rsid w:val="00155F41"/>
    <w:rsid w:val="00156041"/>
    <w:rsid w:val="00156903"/>
    <w:rsid w:val="00156CC0"/>
    <w:rsid w:val="00156EF3"/>
    <w:rsid w:val="001575C2"/>
    <w:rsid w:val="0015787C"/>
    <w:rsid w:val="00157997"/>
    <w:rsid w:val="00157B12"/>
    <w:rsid w:val="00157B65"/>
    <w:rsid w:val="00157B73"/>
    <w:rsid w:val="00160596"/>
    <w:rsid w:val="00160915"/>
    <w:rsid w:val="001609AF"/>
    <w:rsid w:val="00160A89"/>
    <w:rsid w:val="00160D1E"/>
    <w:rsid w:val="00160D85"/>
    <w:rsid w:val="00161092"/>
    <w:rsid w:val="001613EE"/>
    <w:rsid w:val="001615AF"/>
    <w:rsid w:val="001615EC"/>
    <w:rsid w:val="00161869"/>
    <w:rsid w:val="0016197E"/>
    <w:rsid w:val="00161A0D"/>
    <w:rsid w:val="00161D6A"/>
    <w:rsid w:val="00161EDB"/>
    <w:rsid w:val="001620FB"/>
    <w:rsid w:val="0016212B"/>
    <w:rsid w:val="001621E1"/>
    <w:rsid w:val="00162352"/>
    <w:rsid w:val="0016276A"/>
    <w:rsid w:val="00162C3D"/>
    <w:rsid w:val="00162EE2"/>
    <w:rsid w:val="00162FEE"/>
    <w:rsid w:val="00163431"/>
    <w:rsid w:val="00163656"/>
    <w:rsid w:val="00163662"/>
    <w:rsid w:val="0016379F"/>
    <w:rsid w:val="00163861"/>
    <w:rsid w:val="00163B98"/>
    <w:rsid w:val="00164721"/>
    <w:rsid w:val="00164877"/>
    <w:rsid w:val="00164992"/>
    <w:rsid w:val="00164AF0"/>
    <w:rsid w:val="00165018"/>
    <w:rsid w:val="0016518D"/>
    <w:rsid w:val="00165518"/>
    <w:rsid w:val="00165954"/>
    <w:rsid w:val="00165C9D"/>
    <w:rsid w:val="00165E71"/>
    <w:rsid w:val="00165F81"/>
    <w:rsid w:val="0016687B"/>
    <w:rsid w:val="00166AE4"/>
    <w:rsid w:val="00166CCA"/>
    <w:rsid w:val="00166F82"/>
    <w:rsid w:val="0017019C"/>
    <w:rsid w:val="00170651"/>
    <w:rsid w:val="00170886"/>
    <w:rsid w:val="00170CEE"/>
    <w:rsid w:val="00170DD1"/>
    <w:rsid w:val="001710D7"/>
    <w:rsid w:val="001713D5"/>
    <w:rsid w:val="00171580"/>
    <w:rsid w:val="00171668"/>
    <w:rsid w:val="001716CE"/>
    <w:rsid w:val="0017185B"/>
    <w:rsid w:val="00171FFB"/>
    <w:rsid w:val="001726E4"/>
    <w:rsid w:val="0017275C"/>
    <w:rsid w:val="001727EA"/>
    <w:rsid w:val="0017298E"/>
    <w:rsid w:val="0017313F"/>
    <w:rsid w:val="00173221"/>
    <w:rsid w:val="00173284"/>
    <w:rsid w:val="0017355A"/>
    <w:rsid w:val="00173578"/>
    <w:rsid w:val="00173ADD"/>
    <w:rsid w:val="00173C4B"/>
    <w:rsid w:val="00173E16"/>
    <w:rsid w:val="00173ED1"/>
    <w:rsid w:val="00174166"/>
    <w:rsid w:val="00174621"/>
    <w:rsid w:val="001747E1"/>
    <w:rsid w:val="00174AC8"/>
    <w:rsid w:val="00174DD5"/>
    <w:rsid w:val="00175050"/>
    <w:rsid w:val="0017573A"/>
    <w:rsid w:val="00175B20"/>
    <w:rsid w:val="00175D0D"/>
    <w:rsid w:val="0017601C"/>
    <w:rsid w:val="001761B8"/>
    <w:rsid w:val="00176620"/>
    <w:rsid w:val="00176AF4"/>
    <w:rsid w:val="00176B20"/>
    <w:rsid w:val="00176DA0"/>
    <w:rsid w:val="00176F08"/>
    <w:rsid w:val="0017728F"/>
    <w:rsid w:val="00177512"/>
    <w:rsid w:val="001775AC"/>
    <w:rsid w:val="0017771F"/>
    <w:rsid w:val="0017774A"/>
    <w:rsid w:val="00177EDB"/>
    <w:rsid w:val="001802D7"/>
    <w:rsid w:val="00180809"/>
    <w:rsid w:val="001808C0"/>
    <w:rsid w:val="00180E25"/>
    <w:rsid w:val="00180F47"/>
    <w:rsid w:val="001810CB"/>
    <w:rsid w:val="001812C5"/>
    <w:rsid w:val="001816F3"/>
    <w:rsid w:val="0018176C"/>
    <w:rsid w:val="00181D5E"/>
    <w:rsid w:val="0018208D"/>
    <w:rsid w:val="00182281"/>
    <w:rsid w:val="00182702"/>
    <w:rsid w:val="0018278F"/>
    <w:rsid w:val="00182B51"/>
    <w:rsid w:val="00183164"/>
    <w:rsid w:val="00183A09"/>
    <w:rsid w:val="00183C04"/>
    <w:rsid w:val="00183D83"/>
    <w:rsid w:val="00183D89"/>
    <w:rsid w:val="00183EF1"/>
    <w:rsid w:val="00184346"/>
    <w:rsid w:val="001852D9"/>
    <w:rsid w:val="001853B4"/>
    <w:rsid w:val="00185688"/>
    <w:rsid w:val="00185D47"/>
    <w:rsid w:val="00186177"/>
    <w:rsid w:val="00186416"/>
    <w:rsid w:val="00186BB0"/>
    <w:rsid w:val="00186C42"/>
    <w:rsid w:val="00186D44"/>
    <w:rsid w:val="00187095"/>
    <w:rsid w:val="00187158"/>
    <w:rsid w:val="001871F6"/>
    <w:rsid w:val="00187500"/>
    <w:rsid w:val="00187819"/>
    <w:rsid w:val="0019043D"/>
    <w:rsid w:val="0019070D"/>
    <w:rsid w:val="00190A4B"/>
    <w:rsid w:val="00191644"/>
    <w:rsid w:val="0019200A"/>
    <w:rsid w:val="0019206B"/>
    <w:rsid w:val="00192A37"/>
    <w:rsid w:val="00192DC9"/>
    <w:rsid w:val="001931D1"/>
    <w:rsid w:val="001932AD"/>
    <w:rsid w:val="0019341D"/>
    <w:rsid w:val="0019396E"/>
    <w:rsid w:val="00194639"/>
    <w:rsid w:val="001948AB"/>
    <w:rsid w:val="00194B0E"/>
    <w:rsid w:val="00194F7E"/>
    <w:rsid w:val="001958F8"/>
    <w:rsid w:val="0019592F"/>
    <w:rsid w:val="00195A10"/>
    <w:rsid w:val="00195B1B"/>
    <w:rsid w:val="00195DFE"/>
    <w:rsid w:val="00195F32"/>
    <w:rsid w:val="001962C6"/>
    <w:rsid w:val="00196F2A"/>
    <w:rsid w:val="00197321"/>
    <w:rsid w:val="0019741F"/>
    <w:rsid w:val="0019750C"/>
    <w:rsid w:val="00197566"/>
    <w:rsid w:val="001978B6"/>
    <w:rsid w:val="00197908"/>
    <w:rsid w:val="00197929"/>
    <w:rsid w:val="001979D0"/>
    <w:rsid w:val="001A02BE"/>
    <w:rsid w:val="001A07C6"/>
    <w:rsid w:val="001A0B8E"/>
    <w:rsid w:val="001A0DC2"/>
    <w:rsid w:val="001A0E37"/>
    <w:rsid w:val="001A11D6"/>
    <w:rsid w:val="001A1218"/>
    <w:rsid w:val="001A1E6A"/>
    <w:rsid w:val="001A2044"/>
    <w:rsid w:val="001A25C2"/>
    <w:rsid w:val="001A297A"/>
    <w:rsid w:val="001A2ABE"/>
    <w:rsid w:val="001A2C70"/>
    <w:rsid w:val="001A2F00"/>
    <w:rsid w:val="001A3072"/>
    <w:rsid w:val="001A33DD"/>
    <w:rsid w:val="001A3C4D"/>
    <w:rsid w:val="001A3F7A"/>
    <w:rsid w:val="001A402A"/>
    <w:rsid w:val="001A42E4"/>
    <w:rsid w:val="001A4501"/>
    <w:rsid w:val="001A4A20"/>
    <w:rsid w:val="001A5029"/>
    <w:rsid w:val="001A507D"/>
    <w:rsid w:val="001A56B9"/>
    <w:rsid w:val="001A5971"/>
    <w:rsid w:val="001A5E8A"/>
    <w:rsid w:val="001A5F82"/>
    <w:rsid w:val="001A6125"/>
    <w:rsid w:val="001A61AE"/>
    <w:rsid w:val="001A63E8"/>
    <w:rsid w:val="001A7027"/>
    <w:rsid w:val="001A72E9"/>
    <w:rsid w:val="001A742F"/>
    <w:rsid w:val="001A7744"/>
    <w:rsid w:val="001A77B0"/>
    <w:rsid w:val="001A7A77"/>
    <w:rsid w:val="001A7ADE"/>
    <w:rsid w:val="001A7F5F"/>
    <w:rsid w:val="001B037E"/>
    <w:rsid w:val="001B043B"/>
    <w:rsid w:val="001B0787"/>
    <w:rsid w:val="001B079C"/>
    <w:rsid w:val="001B0A53"/>
    <w:rsid w:val="001B0ACF"/>
    <w:rsid w:val="001B0C09"/>
    <w:rsid w:val="001B0E42"/>
    <w:rsid w:val="001B1158"/>
    <w:rsid w:val="001B1550"/>
    <w:rsid w:val="001B1BF5"/>
    <w:rsid w:val="001B2163"/>
    <w:rsid w:val="001B22CA"/>
    <w:rsid w:val="001B2397"/>
    <w:rsid w:val="001B23EE"/>
    <w:rsid w:val="001B23F3"/>
    <w:rsid w:val="001B247A"/>
    <w:rsid w:val="001B2483"/>
    <w:rsid w:val="001B3084"/>
    <w:rsid w:val="001B335F"/>
    <w:rsid w:val="001B357D"/>
    <w:rsid w:val="001B3EE0"/>
    <w:rsid w:val="001B4146"/>
    <w:rsid w:val="001B4201"/>
    <w:rsid w:val="001B4365"/>
    <w:rsid w:val="001B49A9"/>
    <w:rsid w:val="001B51E3"/>
    <w:rsid w:val="001B5442"/>
    <w:rsid w:val="001B551D"/>
    <w:rsid w:val="001B555C"/>
    <w:rsid w:val="001B5850"/>
    <w:rsid w:val="001B5973"/>
    <w:rsid w:val="001B59B5"/>
    <w:rsid w:val="001B5A52"/>
    <w:rsid w:val="001B5AB0"/>
    <w:rsid w:val="001B5BA8"/>
    <w:rsid w:val="001B5F8C"/>
    <w:rsid w:val="001B6326"/>
    <w:rsid w:val="001B638F"/>
    <w:rsid w:val="001B64D6"/>
    <w:rsid w:val="001B6835"/>
    <w:rsid w:val="001B6FC2"/>
    <w:rsid w:val="001B7058"/>
    <w:rsid w:val="001B73F5"/>
    <w:rsid w:val="001B747B"/>
    <w:rsid w:val="001B74AB"/>
    <w:rsid w:val="001B7EEC"/>
    <w:rsid w:val="001C04C3"/>
    <w:rsid w:val="001C076A"/>
    <w:rsid w:val="001C0DBF"/>
    <w:rsid w:val="001C0E25"/>
    <w:rsid w:val="001C0EF4"/>
    <w:rsid w:val="001C102F"/>
    <w:rsid w:val="001C1143"/>
    <w:rsid w:val="001C135D"/>
    <w:rsid w:val="001C15A9"/>
    <w:rsid w:val="001C17F4"/>
    <w:rsid w:val="001C1987"/>
    <w:rsid w:val="001C1F13"/>
    <w:rsid w:val="001C23B4"/>
    <w:rsid w:val="001C2A0D"/>
    <w:rsid w:val="001C3062"/>
    <w:rsid w:val="001C310F"/>
    <w:rsid w:val="001C3761"/>
    <w:rsid w:val="001C3788"/>
    <w:rsid w:val="001C3833"/>
    <w:rsid w:val="001C4436"/>
    <w:rsid w:val="001C4806"/>
    <w:rsid w:val="001C4826"/>
    <w:rsid w:val="001C4C9E"/>
    <w:rsid w:val="001C51A8"/>
    <w:rsid w:val="001C5269"/>
    <w:rsid w:val="001C5583"/>
    <w:rsid w:val="001C5C44"/>
    <w:rsid w:val="001C5E32"/>
    <w:rsid w:val="001C5F4D"/>
    <w:rsid w:val="001C5F50"/>
    <w:rsid w:val="001C621F"/>
    <w:rsid w:val="001C69A9"/>
    <w:rsid w:val="001C6F02"/>
    <w:rsid w:val="001C73F5"/>
    <w:rsid w:val="001C7887"/>
    <w:rsid w:val="001C78B6"/>
    <w:rsid w:val="001C7AEE"/>
    <w:rsid w:val="001C7B2C"/>
    <w:rsid w:val="001C7E67"/>
    <w:rsid w:val="001D00F0"/>
    <w:rsid w:val="001D03BB"/>
    <w:rsid w:val="001D0871"/>
    <w:rsid w:val="001D0959"/>
    <w:rsid w:val="001D1118"/>
    <w:rsid w:val="001D152E"/>
    <w:rsid w:val="001D1850"/>
    <w:rsid w:val="001D1F57"/>
    <w:rsid w:val="001D1FE0"/>
    <w:rsid w:val="001D2482"/>
    <w:rsid w:val="001D265B"/>
    <w:rsid w:val="001D26B6"/>
    <w:rsid w:val="001D27CA"/>
    <w:rsid w:val="001D2CE6"/>
    <w:rsid w:val="001D36E8"/>
    <w:rsid w:val="001D3A07"/>
    <w:rsid w:val="001D3DCA"/>
    <w:rsid w:val="001D3F10"/>
    <w:rsid w:val="001D4258"/>
    <w:rsid w:val="001D442D"/>
    <w:rsid w:val="001D4595"/>
    <w:rsid w:val="001D47EB"/>
    <w:rsid w:val="001D48D2"/>
    <w:rsid w:val="001D493E"/>
    <w:rsid w:val="001D5E5D"/>
    <w:rsid w:val="001D6156"/>
    <w:rsid w:val="001D6177"/>
    <w:rsid w:val="001D639D"/>
    <w:rsid w:val="001D64E6"/>
    <w:rsid w:val="001D665A"/>
    <w:rsid w:val="001D6A1B"/>
    <w:rsid w:val="001D6AB0"/>
    <w:rsid w:val="001D6C2B"/>
    <w:rsid w:val="001D6E50"/>
    <w:rsid w:val="001D70F9"/>
    <w:rsid w:val="001D7988"/>
    <w:rsid w:val="001D7D94"/>
    <w:rsid w:val="001D7F9E"/>
    <w:rsid w:val="001E03EA"/>
    <w:rsid w:val="001E0F3E"/>
    <w:rsid w:val="001E1003"/>
    <w:rsid w:val="001E103F"/>
    <w:rsid w:val="001E125A"/>
    <w:rsid w:val="001E144A"/>
    <w:rsid w:val="001E1909"/>
    <w:rsid w:val="001E1AED"/>
    <w:rsid w:val="001E1C48"/>
    <w:rsid w:val="001E20E4"/>
    <w:rsid w:val="001E23D5"/>
    <w:rsid w:val="001E2966"/>
    <w:rsid w:val="001E2CD2"/>
    <w:rsid w:val="001E2E18"/>
    <w:rsid w:val="001E30A3"/>
    <w:rsid w:val="001E3113"/>
    <w:rsid w:val="001E3FCD"/>
    <w:rsid w:val="001E4123"/>
    <w:rsid w:val="001E42BD"/>
    <w:rsid w:val="001E4D97"/>
    <w:rsid w:val="001E4FDC"/>
    <w:rsid w:val="001E5396"/>
    <w:rsid w:val="001E53F9"/>
    <w:rsid w:val="001E6054"/>
    <w:rsid w:val="001E716A"/>
    <w:rsid w:val="001E71C3"/>
    <w:rsid w:val="001E7553"/>
    <w:rsid w:val="001E793D"/>
    <w:rsid w:val="001E7A6F"/>
    <w:rsid w:val="001F03BF"/>
    <w:rsid w:val="001F1069"/>
    <w:rsid w:val="001F1282"/>
    <w:rsid w:val="001F1468"/>
    <w:rsid w:val="001F16E2"/>
    <w:rsid w:val="001F1705"/>
    <w:rsid w:val="001F197B"/>
    <w:rsid w:val="001F1B29"/>
    <w:rsid w:val="001F1C35"/>
    <w:rsid w:val="001F1CBD"/>
    <w:rsid w:val="001F1E54"/>
    <w:rsid w:val="001F1EB9"/>
    <w:rsid w:val="001F2001"/>
    <w:rsid w:val="001F235C"/>
    <w:rsid w:val="001F2D25"/>
    <w:rsid w:val="001F2D57"/>
    <w:rsid w:val="001F31B9"/>
    <w:rsid w:val="001F33FB"/>
    <w:rsid w:val="001F3834"/>
    <w:rsid w:val="001F3EBD"/>
    <w:rsid w:val="001F41FD"/>
    <w:rsid w:val="001F42E5"/>
    <w:rsid w:val="001F4471"/>
    <w:rsid w:val="001F4917"/>
    <w:rsid w:val="001F4D48"/>
    <w:rsid w:val="001F65F0"/>
    <w:rsid w:val="001F6A15"/>
    <w:rsid w:val="001F6B1C"/>
    <w:rsid w:val="001F6E00"/>
    <w:rsid w:val="001F75B0"/>
    <w:rsid w:val="001F7710"/>
    <w:rsid w:val="00200D11"/>
    <w:rsid w:val="00201843"/>
    <w:rsid w:val="002019E0"/>
    <w:rsid w:val="00201A83"/>
    <w:rsid w:val="0020207F"/>
    <w:rsid w:val="00202339"/>
    <w:rsid w:val="002025B8"/>
    <w:rsid w:val="00203441"/>
    <w:rsid w:val="00203B86"/>
    <w:rsid w:val="00203D29"/>
    <w:rsid w:val="00204581"/>
    <w:rsid w:val="002045B3"/>
    <w:rsid w:val="0020464F"/>
    <w:rsid w:val="002049BA"/>
    <w:rsid w:val="00205114"/>
    <w:rsid w:val="002053D6"/>
    <w:rsid w:val="002057FD"/>
    <w:rsid w:val="00205AD7"/>
    <w:rsid w:val="00205C01"/>
    <w:rsid w:val="00205EA0"/>
    <w:rsid w:val="002062B4"/>
    <w:rsid w:val="0020636E"/>
    <w:rsid w:val="00206AF7"/>
    <w:rsid w:val="00206DCC"/>
    <w:rsid w:val="00206EF5"/>
    <w:rsid w:val="002078D9"/>
    <w:rsid w:val="00210416"/>
    <w:rsid w:val="002105EE"/>
    <w:rsid w:val="00210674"/>
    <w:rsid w:val="00210A6F"/>
    <w:rsid w:val="00210C9B"/>
    <w:rsid w:val="00210D2A"/>
    <w:rsid w:val="0021108B"/>
    <w:rsid w:val="002113D9"/>
    <w:rsid w:val="00211435"/>
    <w:rsid w:val="002116E0"/>
    <w:rsid w:val="0021171B"/>
    <w:rsid w:val="00211A18"/>
    <w:rsid w:val="00211F44"/>
    <w:rsid w:val="00211FF0"/>
    <w:rsid w:val="002122EE"/>
    <w:rsid w:val="002128FD"/>
    <w:rsid w:val="00212A84"/>
    <w:rsid w:val="00212B7F"/>
    <w:rsid w:val="00213B18"/>
    <w:rsid w:val="00214031"/>
    <w:rsid w:val="002143B5"/>
    <w:rsid w:val="00214536"/>
    <w:rsid w:val="00214EDA"/>
    <w:rsid w:val="0021523D"/>
    <w:rsid w:val="0021552E"/>
    <w:rsid w:val="00215B39"/>
    <w:rsid w:val="00215E8B"/>
    <w:rsid w:val="00215EB3"/>
    <w:rsid w:val="00216CA3"/>
    <w:rsid w:val="002173A9"/>
    <w:rsid w:val="002176F9"/>
    <w:rsid w:val="00217A9E"/>
    <w:rsid w:val="00217C0D"/>
    <w:rsid w:val="0022026A"/>
    <w:rsid w:val="00220577"/>
    <w:rsid w:val="002206A2"/>
    <w:rsid w:val="002209D0"/>
    <w:rsid w:val="002209E4"/>
    <w:rsid w:val="00220D2E"/>
    <w:rsid w:val="00221715"/>
    <w:rsid w:val="00221A19"/>
    <w:rsid w:val="00222683"/>
    <w:rsid w:val="00222DD4"/>
    <w:rsid w:val="0022301A"/>
    <w:rsid w:val="0022312F"/>
    <w:rsid w:val="0022318B"/>
    <w:rsid w:val="002232C5"/>
    <w:rsid w:val="0022344B"/>
    <w:rsid w:val="0022368A"/>
    <w:rsid w:val="0022384D"/>
    <w:rsid w:val="0022391D"/>
    <w:rsid w:val="00223944"/>
    <w:rsid w:val="00223B04"/>
    <w:rsid w:val="002249B8"/>
    <w:rsid w:val="00224A84"/>
    <w:rsid w:val="00224E9C"/>
    <w:rsid w:val="0022517C"/>
    <w:rsid w:val="002252D9"/>
    <w:rsid w:val="00225BA7"/>
    <w:rsid w:val="00225C59"/>
    <w:rsid w:val="00225D63"/>
    <w:rsid w:val="00226102"/>
    <w:rsid w:val="00226A63"/>
    <w:rsid w:val="00226B08"/>
    <w:rsid w:val="00226B25"/>
    <w:rsid w:val="00226B3F"/>
    <w:rsid w:val="00226CA7"/>
    <w:rsid w:val="00226F44"/>
    <w:rsid w:val="0022746D"/>
    <w:rsid w:val="00227528"/>
    <w:rsid w:val="00227663"/>
    <w:rsid w:val="00227772"/>
    <w:rsid w:val="00227802"/>
    <w:rsid w:val="0022792B"/>
    <w:rsid w:val="00227CD4"/>
    <w:rsid w:val="00227E81"/>
    <w:rsid w:val="0023003D"/>
    <w:rsid w:val="002301D9"/>
    <w:rsid w:val="00230BDF"/>
    <w:rsid w:val="00230C19"/>
    <w:rsid w:val="00230F77"/>
    <w:rsid w:val="002319E5"/>
    <w:rsid w:val="00231B27"/>
    <w:rsid w:val="00231B40"/>
    <w:rsid w:val="00231D36"/>
    <w:rsid w:val="00231F2A"/>
    <w:rsid w:val="002321DC"/>
    <w:rsid w:val="002321DE"/>
    <w:rsid w:val="0023225F"/>
    <w:rsid w:val="00232536"/>
    <w:rsid w:val="00232553"/>
    <w:rsid w:val="002325DF"/>
    <w:rsid w:val="00232C21"/>
    <w:rsid w:val="00232C5F"/>
    <w:rsid w:val="00232EB6"/>
    <w:rsid w:val="0023337D"/>
    <w:rsid w:val="0023357E"/>
    <w:rsid w:val="0023361A"/>
    <w:rsid w:val="002337A2"/>
    <w:rsid w:val="00233820"/>
    <w:rsid w:val="00233FFF"/>
    <w:rsid w:val="0023437F"/>
    <w:rsid w:val="002343B5"/>
    <w:rsid w:val="00234418"/>
    <w:rsid w:val="00234547"/>
    <w:rsid w:val="00234C30"/>
    <w:rsid w:val="00234DE8"/>
    <w:rsid w:val="00234F0B"/>
    <w:rsid w:val="00235043"/>
    <w:rsid w:val="00235441"/>
    <w:rsid w:val="00235516"/>
    <w:rsid w:val="00235543"/>
    <w:rsid w:val="002358DE"/>
    <w:rsid w:val="00235CEC"/>
    <w:rsid w:val="00235DED"/>
    <w:rsid w:val="00236275"/>
    <w:rsid w:val="002364D6"/>
    <w:rsid w:val="00236A23"/>
    <w:rsid w:val="00236BCE"/>
    <w:rsid w:val="00236C54"/>
    <w:rsid w:val="00236D24"/>
    <w:rsid w:val="00236EBF"/>
    <w:rsid w:val="00237077"/>
    <w:rsid w:val="002373EA"/>
    <w:rsid w:val="00237EFA"/>
    <w:rsid w:val="00240056"/>
    <w:rsid w:val="002405E9"/>
    <w:rsid w:val="0024096D"/>
    <w:rsid w:val="00240F79"/>
    <w:rsid w:val="00240FA9"/>
    <w:rsid w:val="002410B1"/>
    <w:rsid w:val="002416EF"/>
    <w:rsid w:val="00241AE7"/>
    <w:rsid w:val="0024209D"/>
    <w:rsid w:val="0024244D"/>
    <w:rsid w:val="002425CB"/>
    <w:rsid w:val="002428B7"/>
    <w:rsid w:val="002428D2"/>
    <w:rsid w:val="00242C22"/>
    <w:rsid w:val="002439E0"/>
    <w:rsid w:val="002440E0"/>
    <w:rsid w:val="0024414D"/>
    <w:rsid w:val="00244270"/>
    <w:rsid w:val="002445B6"/>
    <w:rsid w:val="0024495D"/>
    <w:rsid w:val="00244C7A"/>
    <w:rsid w:val="00244DF4"/>
    <w:rsid w:val="00244EBF"/>
    <w:rsid w:val="002451B9"/>
    <w:rsid w:val="002454CD"/>
    <w:rsid w:val="00245663"/>
    <w:rsid w:val="00245EBD"/>
    <w:rsid w:val="00245EEB"/>
    <w:rsid w:val="00245F5F"/>
    <w:rsid w:val="002465FC"/>
    <w:rsid w:val="00246795"/>
    <w:rsid w:val="00246B9C"/>
    <w:rsid w:val="00246BF4"/>
    <w:rsid w:val="00247020"/>
    <w:rsid w:val="002471B7"/>
    <w:rsid w:val="00247CFD"/>
    <w:rsid w:val="002503DD"/>
    <w:rsid w:val="00250471"/>
    <w:rsid w:val="002507C9"/>
    <w:rsid w:val="00250981"/>
    <w:rsid w:val="00250DE7"/>
    <w:rsid w:val="0025123E"/>
    <w:rsid w:val="00251451"/>
    <w:rsid w:val="00251683"/>
    <w:rsid w:val="00251920"/>
    <w:rsid w:val="0025262E"/>
    <w:rsid w:val="002526A4"/>
    <w:rsid w:val="002527D0"/>
    <w:rsid w:val="00252B3C"/>
    <w:rsid w:val="00252CF1"/>
    <w:rsid w:val="00252D17"/>
    <w:rsid w:val="00253350"/>
    <w:rsid w:val="00253F05"/>
    <w:rsid w:val="002541CF"/>
    <w:rsid w:val="00254B34"/>
    <w:rsid w:val="00254EF5"/>
    <w:rsid w:val="00255614"/>
    <w:rsid w:val="00255791"/>
    <w:rsid w:val="00255FB2"/>
    <w:rsid w:val="002562BD"/>
    <w:rsid w:val="002562F0"/>
    <w:rsid w:val="00256326"/>
    <w:rsid w:val="00256B3E"/>
    <w:rsid w:val="00256C28"/>
    <w:rsid w:val="00257006"/>
    <w:rsid w:val="00257047"/>
    <w:rsid w:val="00257083"/>
    <w:rsid w:val="002572D5"/>
    <w:rsid w:val="0025759F"/>
    <w:rsid w:val="002578F7"/>
    <w:rsid w:val="002578F9"/>
    <w:rsid w:val="00257A94"/>
    <w:rsid w:val="00260245"/>
    <w:rsid w:val="00260412"/>
    <w:rsid w:val="002604FC"/>
    <w:rsid w:val="0026066D"/>
    <w:rsid w:val="002611B7"/>
    <w:rsid w:val="002611CA"/>
    <w:rsid w:val="0026145B"/>
    <w:rsid w:val="0026171E"/>
    <w:rsid w:val="00261752"/>
    <w:rsid w:val="002617D4"/>
    <w:rsid w:val="00261B10"/>
    <w:rsid w:val="00261C70"/>
    <w:rsid w:val="00261CF3"/>
    <w:rsid w:val="0026254F"/>
    <w:rsid w:val="0026255B"/>
    <w:rsid w:val="00262925"/>
    <w:rsid w:val="00262D3D"/>
    <w:rsid w:val="00262D81"/>
    <w:rsid w:val="00262EA2"/>
    <w:rsid w:val="002636A1"/>
    <w:rsid w:val="00263750"/>
    <w:rsid w:val="00264440"/>
    <w:rsid w:val="00264473"/>
    <w:rsid w:val="00264817"/>
    <w:rsid w:val="00264958"/>
    <w:rsid w:val="00264F09"/>
    <w:rsid w:val="00264F9A"/>
    <w:rsid w:val="00265092"/>
    <w:rsid w:val="002657B6"/>
    <w:rsid w:val="00265B1D"/>
    <w:rsid w:val="00265F64"/>
    <w:rsid w:val="002667BD"/>
    <w:rsid w:val="00266A94"/>
    <w:rsid w:val="00266CA7"/>
    <w:rsid w:val="0026706F"/>
    <w:rsid w:val="00267517"/>
    <w:rsid w:val="0027002D"/>
    <w:rsid w:val="00270239"/>
    <w:rsid w:val="00270423"/>
    <w:rsid w:val="002705D9"/>
    <w:rsid w:val="00270C16"/>
    <w:rsid w:val="00270DD2"/>
    <w:rsid w:val="00271734"/>
    <w:rsid w:val="00271A41"/>
    <w:rsid w:val="00271AFA"/>
    <w:rsid w:val="00271BF0"/>
    <w:rsid w:val="0027262A"/>
    <w:rsid w:val="00272BDA"/>
    <w:rsid w:val="0027331A"/>
    <w:rsid w:val="00273327"/>
    <w:rsid w:val="0027361A"/>
    <w:rsid w:val="00274BC8"/>
    <w:rsid w:val="00274C02"/>
    <w:rsid w:val="00274CBE"/>
    <w:rsid w:val="00274DD2"/>
    <w:rsid w:val="002750C5"/>
    <w:rsid w:val="0027551A"/>
    <w:rsid w:val="002756B9"/>
    <w:rsid w:val="00275783"/>
    <w:rsid w:val="002757E5"/>
    <w:rsid w:val="00275C47"/>
    <w:rsid w:val="00275D0B"/>
    <w:rsid w:val="00275D91"/>
    <w:rsid w:val="00275F6F"/>
    <w:rsid w:val="002764C8"/>
    <w:rsid w:val="00276680"/>
    <w:rsid w:val="00276725"/>
    <w:rsid w:val="00276840"/>
    <w:rsid w:val="00277005"/>
    <w:rsid w:val="00277042"/>
    <w:rsid w:val="0027732F"/>
    <w:rsid w:val="0027785B"/>
    <w:rsid w:val="00277918"/>
    <w:rsid w:val="00277EB4"/>
    <w:rsid w:val="00280320"/>
    <w:rsid w:val="0028106A"/>
    <w:rsid w:val="002813E1"/>
    <w:rsid w:val="0028173E"/>
    <w:rsid w:val="00281A82"/>
    <w:rsid w:val="00281B02"/>
    <w:rsid w:val="00281B9A"/>
    <w:rsid w:val="00281E63"/>
    <w:rsid w:val="0028240E"/>
    <w:rsid w:val="00282640"/>
    <w:rsid w:val="00282679"/>
    <w:rsid w:val="00282A9A"/>
    <w:rsid w:val="00282B0A"/>
    <w:rsid w:val="00282B18"/>
    <w:rsid w:val="00282E4A"/>
    <w:rsid w:val="00283366"/>
    <w:rsid w:val="002835FA"/>
    <w:rsid w:val="0028387B"/>
    <w:rsid w:val="002839D5"/>
    <w:rsid w:val="00283C22"/>
    <w:rsid w:val="00283FBD"/>
    <w:rsid w:val="0028420D"/>
    <w:rsid w:val="00284221"/>
    <w:rsid w:val="00284AAD"/>
    <w:rsid w:val="00284F1D"/>
    <w:rsid w:val="00284F2B"/>
    <w:rsid w:val="0028553E"/>
    <w:rsid w:val="00285839"/>
    <w:rsid w:val="00285C17"/>
    <w:rsid w:val="00286141"/>
    <w:rsid w:val="002861CE"/>
    <w:rsid w:val="00286268"/>
    <w:rsid w:val="00286313"/>
    <w:rsid w:val="00286492"/>
    <w:rsid w:val="00286820"/>
    <w:rsid w:val="002868DD"/>
    <w:rsid w:val="00286DD5"/>
    <w:rsid w:val="002877BC"/>
    <w:rsid w:val="00287930"/>
    <w:rsid w:val="00287990"/>
    <w:rsid w:val="0028799D"/>
    <w:rsid w:val="00287F6D"/>
    <w:rsid w:val="00290936"/>
    <w:rsid w:val="002913EE"/>
    <w:rsid w:val="00291670"/>
    <w:rsid w:val="00291956"/>
    <w:rsid w:val="00291B4B"/>
    <w:rsid w:val="00291BBF"/>
    <w:rsid w:val="00292569"/>
    <w:rsid w:val="00292687"/>
    <w:rsid w:val="00292BC8"/>
    <w:rsid w:val="00292D39"/>
    <w:rsid w:val="00292F37"/>
    <w:rsid w:val="00293018"/>
    <w:rsid w:val="00293080"/>
    <w:rsid w:val="0029352F"/>
    <w:rsid w:val="002940A5"/>
    <w:rsid w:val="00294627"/>
    <w:rsid w:val="0029489F"/>
    <w:rsid w:val="00294C53"/>
    <w:rsid w:val="00294DCB"/>
    <w:rsid w:val="002953BC"/>
    <w:rsid w:val="002954C9"/>
    <w:rsid w:val="00295A78"/>
    <w:rsid w:val="00295AE0"/>
    <w:rsid w:val="0029622C"/>
    <w:rsid w:val="002964E4"/>
    <w:rsid w:val="00296A75"/>
    <w:rsid w:val="00296B59"/>
    <w:rsid w:val="00296ED3"/>
    <w:rsid w:val="00297A76"/>
    <w:rsid w:val="00297CA0"/>
    <w:rsid w:val="00297D0F"/>
    <w:rsid w:val="00297E86"/>
    <w:rsid w:val="002A0260"/>
    <w:rsid w:val="002A053B"/>
    <w:rsid w:val="002A068E"/>
    <w:rsid w:val="002A11AB"/>
    <w:rsid w:val="002A13F2"/>
    <w:rsid w:val="002A1665"/>
    <w:rsid w:val="002A179E"/>
    <w:rsid w:val="002A18EB"/>
    <w:rsid w:val="002A1A94"/>
    <w:rsid w:val="002A1F8F"/>
    <w:rsid w:val="002A242A"/>
    <w:rsid w:val="002A2A29"/>
    <w:rsid w:val="002A2DC3"/>
    <w:rsid w:val="002A3C56"/>
    <w:rsid w:val="002A3C9E"/>
    <w:rsid w:val="002A4463"/>
    <w:rsid w:val="002A4855"/>
    <w:rsid w:val="002A4D55"/>
    <w:rsid w:val="002A4DB3"/>
    <w:rsid w:val="002A4F60"/>
    <w:rsid w:val="002A5335"/>
    <w:rsid w:val="002A5412"/>
    <w:rsid w:val="002A5854"/>
    <w:rsid w:val="002A5911"/>
    <w:rsid w:val="002A5917"/>
    <w:rsid w:val="002A5995"/>
    <w:rsid w:val="002A5C97"/>
    <w:rsid w:val="002A6694"/>
    <w:rsid w:val="002A66D9"/>
    <w:rsid w:val="002A6C29"/>
    <w:rsid w:val="002A75DE"/>
    <w:rsid w:val="002A7609"/>
    <w:rsid w:val="002A7E57"/>
    <w:rsid w:val="002B0290"/>
    <w:rsid w:val="002B032F"/>
    <w:rsid w:val="002B03BE"/>
    <w:rsid w:val="002B05B4"/>
    <w:rsid w:val="002B0879"/>
    <w:rsid w:val="002B0B07"/>
    <w:rsid w:val="002B0B70"/>
    <w:rsid w:val="002B0F9C"/>
    <w:rsid w:val="002B1038"/>
    <w:rsid w:val="002B1632"/>
    <w:rsid w:val="002B192D"/>
    <w:rsid w:val="002B2266"/>
    <w:rsid w:val="002B253F"/>
    <w:rsid w:val="002B2736"/>
    <w:rsid w:val="002B28A2"/>
    <w:rsid w:val="002B28E5"/>
    <w:rsid w:val="002B2B7F"/>
    <w:rsid w:val="002B3077"/>
    <w:rsid w:val="002B39F6"/>
    <w:rsid w:val="002B3D2F"/>
    <w:rsid w:val="002B3E51"/>
    <w:rsid w:val="002B4128"/>
    <w:rsid w:val="002B4C23"/>
    <w:rsid w:val="002B4D8A"/>
    <w:rsid w:val="002B4D9F"/>
    <w:rsid w:val="002B4E2E"/>
    <w:rsid w:val="002B5023"/>
    <w:rsid w:val="002B505F"/>
    <w:rsid w:val="002B5878"/>
    <w:rsid w:val="002B5A30"/>
    <w:rsid w:val="002B5A7B"/>
    <w:rsid w:val="002B5E37"/>
    <w:rsid w:val="002B6090"/>
    <w:rsid w:val="002B69CD"/>
    <w:rsid w:val="002B6EB3"/>
    <w:rsid w:val="002B7183"/>
    <w:rsid w:val="002B7534"/>
    <w:rsid w:val="002B777D"/>
    <w:rsid w:val="002B7A4F"/>
    <w:rsid w:val="002B7D58"/>
    <w:rsid w:val="002B7EAD"/>
    <w:rsid w:val="002C03E9"/>
    <w:rsid w:val="002C04B5"/>
    <w:rsid w:val="002C09DC"/>
    <w:rsid w:val="002C1206"/>
    <w:rsid w:val="002C148A"/>
    <w:rsid w:val="002C16FA"/>
    <w:rsid w:val="002C17B6"/>
    <w:rsid w:val="002C1DA5"/>
    <w:rsid w:val="002C1E86"/>
    <w:rsid w:val="002C209F"/>
    <w:rsid w:val="002C2748"/>
    <w:rsid w:val="002C2E61"/>
    <w:rsid w:val="002C3136"/>
    <w:rsid w:val="002C347D"/>
    <w:rsid w:val="002C3646"/>
    <w:rsid w:val="002C36EC"/>
    <w:rsid w:val="002C47B3"/>
    <w:rsid w:val="002C4988"/>
    <w:rsid w:val="002C53EC"/>
    <w:rsid w:val="002C540F"/>
    <w:rsid w:val="002C5496"/>
    <w:rsid w:val="002C58B3"/>
    <w:rsid w:val="002C5BC3"/>
    <w:rsid w:val="002C5D02"/>
    <w:rsid w:val="002C602F"/>
    <w:rsid w:val="002C6A53"/>
    <w:rsid w:val="002C6E57"/>
    <w:rsid w:val="002C6EC1"/>
    <w:rsid w:val="002C713C"/>
    <w:rsid w:val="002C755B"/>
    <w:rsid w:val="002C760D"/>
    <w:rsid w:val="002C7736"/>
    <w:rsid w:val="002D0206"/>
    <w:rsid w:val="002D07E7"/>
    <w:rsid w:val="002D09AA"/>
    <w:rsid w:val="002D0B79"/>
    <w:rsid w:val="002D1238"/>
    <w:rsid w:val="002D1590"/>
    <w:rsid w:val="002D1990"/>
    <w:rsid w:val="002D1B70"/>
    <w:rsid w:val="002D1BDB"/>
    <w:rsid w:val="002D1EEC"/>
    <w:rsid w:val="002D2628"/>
    <w:rsid w:val="002D29C7"/>
    <w:rsid w:val="002D2A34"/>
    <w:rsid w:val="002D2B23"/>
    <w:rsid w:val="002D2C8C"/>
    <w:rsid w:val="002D2E2A"/>
    <w:rsid w:val="002D3035"/>
    <w:rsid w:val="002D326D"/>
    <w:rsid w:val="002D32DB"/>
    <w:rsid w:val="002D361D"/>
    <w:rsid w:val="002D3A21"/>
    <w:rsid w:val="002D3B45"/>
    <w:rsid w:val="002D3C64"/>
    <w:rsid w:val="002D3C8A"/>
    <w:rsid w:val="002D3D32"/>
    <w:rsid w:val="002D4591"/>
    <w:rsid w:val="002D4937"/>
    <w:rsid w:val="002D4EBC"/>
    <w:rsid w:val="002D51C8"/>
    <w:rsid w:val="002D527A"/>
    <w:rsid w:val="002D5287"/>
    <w:rsid w:val="002D569D"/>
    <w:rsid w:val="002D576E"/>
    <w:rsid w:val="002D585C"/>
    <w:rsid w:val="002D5CD4"/>
    <w:rsid w:val="002D5E05"/>
    <w:rsid w:val="002D67CC"/>
    <w:rsid w:val="002D78FC"/>
    <w:rsid w:val="002D7ACA"/>
    <w:rsid w:val="002D7B17"/>
    <w:rsid w:val="002D7B51"/>
    <w:rsid w:val="002D7E44"/>
    <w:rsid w:val="002E0249"/>
    <w:rsid w:val="002E027E"/>
    <w:rsid w:val="002E08A0"/>
    <w:rsid w:val="002E0A0E"/>
    <w:rsid w:val="002E1298"/>
    <w:rsid w:val="002E1890"/>
    <w:rsid w:val="002E19E8"/>
    <w:rsid w:val="002E1E8F"/>
    <w:rsid w:val="002E1F3A"/>
    <w:rsid w:val="002E229E"/>
    <w:rsid w:val="002E234C"/>
    <w:rsid w:val="002E29EC"/>
    <w:rsid w:val="002E2C0A"/>
    <w:rsid w:val="002E32EF"/>
    <w:rsid w:val="002E3423"/>
    <w:rsid w:val="002E3435"/>
    <w:rsid w:val="002E35C8"/>
    <w:rsid w:val="002E36B8"/>
    <w:rsid w:val="002E3710"/>
    <w:rsid w:val="002E37D9"/>
    <w:rsid w:val="002E39F7"/>
    <w:rsid w:val="002E3A23"/>
    <w:rsid w:val="002E3C78"/>
    <w:rsid w:val="002E3F83"/>
    <w:rsid w:val="002E4797"/>
    <w:rsid w:val="002E4CDE"/>
    <w:rsid w:val="002E4F35"/>
    <w:rsid w:val="002E53E1"/>
    <w:rsid w:val="002E546F"/>
    <w:rsid w:val="002E6051"/>
    <w:rsid w:val="002E6147"/>
    <w:rsid w:val="002E672B"/>
    <w:rsid w:val="002E69C6"/>
    <w:rsid w:val="002E6A93"/>
    <w:rsid w:val="002E6AA5"/>
    <w:rsid w:val="002E6B7E"/>
    <w:rsid w:val="002E6BD3"/>
    <w:rsid w:val="002E6D07"/>
    <w:rsid w:val="002E6FE9"/>
    <w:rsid w:val="002E7130"/>
    <w:rsid w:val="002E718C"/>
    <w:rsid w:val="002E750F"/>
    <w:rsid w:val="002F0A72"/>
    <w:rsid w:val="002F0D92"/>
    <w:rsid w:val="002F0FC4"/>
    <w:rsid w:val="002F13FB"/>
    <w:rsid w:val="002F1B6C"/>
    <w:rsid w:val="002F1D2A"/>
    <w:rsid w:val="002F1D2F"/>
    <w:rsid w:val="002F1F02"/>
    <w:rsid w:val="002F2022"/>
    <w:rsid w:val="002F29D0"/>
    <w:rsid w:val="002F2BD5"/>
    <w:rsid w:val="002F3603"/>
    <w:rsid w:val="002F3A40"/>
    <w:rsid w:val="002F3AA4"/>
    <w:rsid w:val="002F3AAB"/>
    <w:rsid w:val="002F4403"/>
    <w:rsid w:val="002F44CC"/>
    <w:rsid w:val="002F4603"/>
    <w:rsid w:val="002F4BFD"/>
    <w:rsid w:val="002F4EF2"/>
    <w:rsid w:val="002F5208"/>
    <w:rsid w:val="002F54ED"/>
    <w:rsid w:val="002F5683"/>
    <w:rsid w:val="002F57F0"/>
    <w:rsid w:val="002F5A65"/>
    <w:rsid w:val="002F5DE3"/>
    <w:rsid w:val="002F5EAF"/>
    <w:rsid w:val="002F6063"/>
    <w:rsid w:val="002F6582"/>
    <w:rsid w:val="002F6727"/>
    <w:rsid w:val="002F67D0"/>
    <w:rsid w:val="002F6B0F"/>
    <w:rsid w:val="002F6B2A"/>
    <w:rsid w:val="002F6EF6"/>
    <w:rsid w:val="002F7173"/>
    <w:rsid w:val="002F71BB"/>
    <w:rsid w:val="002F7547"/>
    <w:rsid w:val="002F77B6"/>
    <w:rsid w:val="002F799D"/>
    <w:rsid w:val="002F79E5"/>
    <w:rsid w:val="002F7E85"/>
    <w:rsid w:val="003004FF"/>
    <w:rsid w:val="00300563"/>
    <w:rsid w:val="00300594"/>
    <w:rsid w:val="00300715"/>
    <w:rsid w:val="003007D7"/>
    <w:rsid w:val="003009CD"/>
    <w:rsid w:val="00300BDA"/>
    <w:rsid w:val="00300CA2"/>
    <w:rsid w:val="00300D3D"/>
    <w:rsid w:val="00300F36"/>
    <w:rsid w:val="00301189"/>
    <w:rsid w:val="003011FB"/>
    <w:rsid w:val="003018D2"/>
    <w:rsid w:val="00301A21"/>
    <w:rsid w:val="00301AD1"/>
    <w:rsid w:val="00301E98"/>
    <w:rsid w:val="0030216F"/>
    <w:rsid w:val="003021DF"/>
    <w:rsid w:val="0030252B"/>
    <w:rsid w:val="003026FF"/>
    <w:rsid w:val="003027B9"/>
    <w:rsid w:val="003028ED"/>
    <w:rsid w:val="00302F76"/>
    <w:rsid w:val="003032D4"/>
    <w:rsid w:val="00303835"/>
    <w:rsid w:val="00303A75"/>
    <w:rsid w:val="00304556"/>
    <w:rsid w:val="00304AD3"/>
    <w:rsid w:val="00304B71"/>
    <w:rsid w:val="00304F60"/>
    <w:rsid w:val="00305554"/>
    <w:rsid w:val="00305668"/>
    <w:rsid w:val="003056C6"/>
    <w:rsid w:val="00305875"/>
    <w:rsid w:val="00305A24"/>
    <w:rsid w:val="00305C63"/>
    <w:rsid w:val="003060AA"/>
    <w:rsid w:val="003068A7"/>
    <w:rsid w:val="003069F8"/>
    <w:rsid w:val="00307679"/>
    <w:rsid w:val="003079F3"/>
    <w:rsid w:val="00307FB0"/>
    <w:rsid w:val="003105BD"/>
    <w:rsid w:val="00310CC0"/>
    <w:rsid w:val="0031101E"/>
    <w:rsid w:val="00311827"/>
    <w:rsid w:val="003119FA"/>
    <w:rsid w:val="00311B1B"/>
    <w:rsid w:val="00311C36"/>
    <w:rsid w:val="00311CB6"/>
    <w:rsid w:val="00311F1D"/>
    <w:rsid w:val="00311FA8"/>
    <w:rsid w:val="00312DAC"/>
    <w:rsid w:val="00313032"/>
    <w:rsid w:val="0031330A"/>
    <w:rsid w:val="003134EB"/>
    <w:rsid w:val="00313999"/>
    <w:rsid w:val="00313A17"/>
    <w:rsid w:val="00313D39"/>
    <w:rsid w:val="003143A1"/>
    <w:rsid w:val="003143EA"/>
    <w:rsid w:val="003145A0"/>
    <w:rsid w:val="0031470B"/>
    <w:rsid w:val="003147A0"/>
    <w:rsid w:val="00314809"/>
    <w:rsid w:val="00314B69"/>
    <w:rsid w:val="0031529A"/>
    <w:rsid w:val="0031532F"/>
    <w:rsid w:val="00315526"/>
    <w:rsid w:val="0031588B"/>
    <w:rsid w:val="00315D09"/>
    <w:rsid w:val="00316A12"/>
    <w:rsid w:val="0031703E"/>
    <w:rsid w:val="0031731B"/>
    <w:rsid w:val="003177A9"/>
    <w:rsid w:val="00317AC6"/>
    <w:rsid w:val="00317B1C"/>
    <w:rsid w:val="00317BFA"/>
    <w:rsid w:val="00317CB2"/>
    <w:rsid w:val="00317F76"/>
    <w:rsid w:val="003202EC"/>
    <w:rsid w:val="00320515"/>
    <w:rsid w:val="00320821"/>
    <w:rsid w:val="00320A2B"/>
    <w:rsid w:val="00320B3C"/>
    <w:rsid w:val="00320EA6"/>
    <w:rsid w:val="0032107F"/>
    <w:rsid w:val="00321243"/>
    <w:rsid w:val="00321490"/>
    <w:rsid w:val="00321C97"/>
    <w:rsid w:val="00321D2E"/>
    <w:rsid w:val="00321D35"/>
    <w:rsid w:val="00321FE6"/>
    <w:rsid w:val="0032245E"/>
    <w:rsid w:val="003224A2"/>
    <w:rsid w:val="00322531"/>
    <w:rsid w:val="00322579"/>
    <w:rsid w:val="003226AA"/>
    <w:rsid w:val="0032303B"/>
    <w:rsid w:val="0032391D"/>
    <w:rsid w:val="003239CF"/>
    <w:rsid w:val="003239E0"/>
    <w:rsid w:val="00323C82"/>
    <w:rsid w:val="003244C2"/>
    <w:rsid w:val="003246BE"/>
    <w:rsid w:val="0032481C"/>
    <w:rsid w:val="00324AC8"/>
    <w:rsid w:val="00324C0D"/>
    <w:rsid w:val="0032515B"/>
    <w:rsid w:val="0032537A"/>
    <w:rsid w:val="00325398"/>
    <w:rsid w:val="00325536"/>
    <w:rsid w:val="00325602"/>
    <w:rsid w:val="00325629"/>
    <w:rsid w:val="00325758"/>
    <w:rsid w:val="0032579A"/>
    <w:rsid w:val="00325E93"/>
    <w:rsid w:val="003263FC"/>
    <w:rsid w:val="003267AF"/>
    <w:rsid w:val="003267E1"/>
    <w:rsid w:val="003268D9"/>
    <w:rsid w:val="00326D46"/>
    <w:rsid w:val="00326FDA"/>
    <w:rsid w:val="003274F1"/>
    <w:rsid w:val="00327601"/>
    <w:rsid w:val="00327A74"/>
    <w:rsid w:val="00330B83"/>
    <w:rsid w:val="00330DF9"/>
    <w:rsid w:val="00330E21"/>
    <w:rsid w:val="00331589"/>
    <w:rsid w:val="00331860"/>
    <w:rsid w:val="00331A3B"/>
    <w:rsid w:val="00331F80"/>
    <w:rsid w:val="00332330"/>
    <w:rsid w:val="003325F6"/>
    <w:rsid w:val="003326BC"/>
    <w:rsid w:val="003327A9"/>
    <w:rsid w:val="00332BC9"/>
    <w:rsid w:val="00332DAA"/>
    <w:rsid w:val="00333757"/>
    <w:rsid w:val="00333A08"/>
    <w:rsid w:val="00333B48"/>
    <w:rsid w:val="0033403B"/>
    <w:rsid w:val="00334456"/>
    <w:rsid w:val="003346E2"/>
    <w:rsid w:val="00334762"/>
    <w:rsid w:val="00334784"/>
    <w:rsid w:val="003347EF"/>
    <w:rsid w:val="003348B1"/>
    <w:rsid w:val="003348D8"/>
    <w:rsid w:val="00334D20"/>
    <w:rsid w:val="00335347"/>
    <w:rsid w:val="00335826"/>
    <w:rsid w:val="00335921"/>
    <w:rsid w:val="00335973"/>
    <w:rsid w:val="003359C3"/>
    <w:rsid w:val="00335C8B"/>
    <w:rsid w:val="0033660C"/>
    <w:rsid w:val="003366E7"/>
    <w:rsid w:val="00336731"/>
    <w:rsid w:val="003369EF"/>
    <w:rsid w:val="003369F1"/>
    <w:rsid w:val="00336A48"/>
    <w:rsid w:val="00336B7D"/>
    <w:rsid w:val="00337302"/>
    <w:rsid w:val="003377ED"/>
    <w:rsid w:val="00337FD2"/>
    <w:rsid w:val="00340197"/>
    <w:rsid w:val="003401B5"/>
    <w:rsid w:val="0034147C"/>
    <w:rsid w:val="003414A1"/>
    <w:rsid w:val="0034179C"/>
    <w:rsid w:val="003418CC"/>
    <w:rsid w:val="00341B57"/>
    <w:rsid w:val="00341CDE"/>
    <w:rsid w:val="003427BA"/>
    <w:rsid w:val="0034319B"/>
    <w:rsid w:val="00343352"/>
    <w:rsid w:val="003436F0"/>
    <w:rsid w:val="003437F6"/>
    <w:rsid w:val="00343AC0"/>
    <w:rsid w:val="00343AEB"/>
    <w:rsid w:val="00343B5E"/>
    <w:rsid w:val="00343B6A"/>
    <w:rsid w:val="0034423A"/>
    <w:rsid w:val="0034423D"/>
    <w:rsid w:val="0034426C"/>
    <w:rsid w:val="00344270"/>
    <w:rsid w:val="00344462"/>
    <w:rsid w:val="003445FC"/>
    <w:rsid w:val="00344690"/>
    <w:rsid w:val="0034474B"/>
    <w:rsid w:val="0034476D"/>
    <w:rsid w:val="00344AB1"/>
    <w:rsid w:val="00344CCB"/>
    <w:rsid w:val="00344F22"/>
    <w:rsid w:val="00345080"/>
    <w:rsid w:val="00345174"/>
    <w:rsid w:val="00345423"/>
    <w:rsid w:val="003454F2"/>
    <w:rsid w:val="0034551C"/>
    <w:rsid w:val="00345725"/>
    <w:rsid w:val="0034577A"/>
    <w:rsid w:val="0034587F"/>
    <w:rsid w:val="00345F52"/>
    <w:rsid w:val="00346491"/>
    <w:rsid w:val="003464C5"/>
    <w:rsid w:val="0034673C"/>
    <w:rsid w:val="00346B48"/>
    <w:rsid w:val="00346DBA"/>
    <w:rsid w:val="00346ED8"/>
    <w:rsid w:val="00346F7F"/>
    <w:rsid w:val="0034715A"/>
    <w:rsid w:val="0034735E"/>
    <w:rsid w:val="00347E6A"/>
    <w:rsid w:val="00347F2D"/>
    <w:rsid w:val="003501F4"/>
    <w:rsid w:val="00350255"/>
    <w:rsid w:val="00351092"/>
    <w:rsid w:val="0035185E"/>
    <w:rsid w:val="003518F1"/>
    <w:rsid w:val="00351FBE"/>
    <w:rsid w:val="00352345"/>
    <w:rsid w:val="003525DA"/>
    <w:rsid w:val="003529DA"/>
    <w:rsid w:val="00352C73"/>
    <w:rsid w:val="00352D3F"/>
    <w:rsid w:val="00352D66"/>
    <w:rsid w:val="003532EE"/>
    <w:rsid w:val="003535B2"/>
    <w:rsid w:val="00353633"/>
    <w:rsid w:val="00353E54"/>
    <w:rsid w:val="00354270"/>
    <w:rsid w:val="003542AF"/>
    <w:rsid w:val="0035438C"/>
    <w:rsid w:val="0035442C"/>
    <w:rsid w:val="0035518E"/>
    <w:rsid w:val="003557F6"/>
    <w:rsid w:val="003559EE"/>
    <w:rsid w:val="00355D01"/>
    <w:rsid w:val="003560D3"/>
    <w:rsid w:val="0035615E"/>
    <w:rsid w:val="0035647B"/>
    <w:rsid w:val="003564AA"/>
    <w:rsid w:val="00356869"/>
    <w:rsid w:val="00356955"/>
    <w:rsid w:val="00356CF2"/>
    <w:rsid w:val="0035710D"/>
    <w:rsid w:val="0035773B"/>
    <w:rsid w:val="00357923"/>
    <w:rsid w:val="00357A9F"/>
    <w:rsid w:val="00357B99"/>
    <w:rsid w:val="00360178"/>
    <w:rsid w:val="0036026D"/>
    <w:rsid w:val="00360319"/>
    <w:rsid w:val="00360405"/>
    <w:rsid w:val="003606E1"/>
    <w:rsid w:val="00360AEC"/>
    <w:rsid w:val="003614AC"/>
    <w:rsid w:val="00361BD5"/>
    <w:rsid w:val="00361CFC"/>
    <w:rsid w:val="00361D87"/>
    <w:rsid w:val="00362080"/>
    <w:rsid w:val="00362259"/>
    <w:rsid w:val="00362447"/>
    <w:rsid w:val="00362578"/>
    <w:rsid w:val="003626EA"/>
    <w:rsid w:val="00362914"/>
    <w:rsid w:val="00362AB5"/>
    <w:rsid w:val="00362AF0"/>
    <w:rsid w:val="00362C4A"/>
    <w:rsid w:val="00362DB6"/>
    <w:rsid w:val="00362E2D"/>
    <w:rsid w:val="00362FB3"/>
    <w:rsid w:val="003630E9"/>
    <w:rsid w:val="00363C9B"/>
    <w:rsid w:val="0036465A"/>
    <w:rsid w:val="003646C2"/>
    <w:rsid w:val="00364853"/>
    <w:rsid w:val="00365098"/>
    <w:rsid w:val="00365B70"/>
    <w:rsid w:val="00365CD5"/>
    <w:rsid w:val="00365D48"/>
    <w:rsid w:val="00365FF0"/>
    <w:rsid w:val="0036646B"/>
    <w:rsid w:val="00366D2F"/>
    <w:rsid w:val="00366DA6"/>
    <w:rsid w:val="00366ED9"/>
    <w:rsid w:val="003671B1"/>
    <w:rsid w:val="0036728F"/>
    <w:rsid w:val="00367373"/>
    <w:rsid w:val="00367ABB"/>
    <w:rsid w:val="00367B45"/>
    <w:rsid w:val="00367D25"/>
    <w:rsid w:val="00367D72"/>
    <w:rsid w:val="00370204"/>
    <w:rsid w:val="003709BA"/>
    <w:rsid w:val="00370A80"/>
    <w:rsid w:val="00370CA7"/>
    <w:rsid w:val="0037164E"/>
    <w:rsid w:val="003718D3"/>
    <w:rsid w:val="00372C02"/>
    <w:rsid w:val="003730BB"/>
    <w:rsid w:val="003731AA"/>
    <w:rsid w:val="00373304"/>
    <w:rsid w:val="003736B2"/>
    <w:rsid w:val="0037374C"/>
    <w:rsid w:val="003738B2"/>
    <w:rsid w:val="00373C13"/>
    <w:rsid w:val="003741B9"/>
    <w:rsid w:val="00374297"/>
    <w:rsid w:val="003742B6"/>
    <w:rsid w:val="003743EA"/>
    <w:rsid w:val="00374549"/>
    <w:rsid w:val="003746AC"/>
    <w:rsid w:val="003749C6"/>
    <w:rsid w:val="00374AC4"/>
    <w:rsid w:val="00374CC9"/>
    <w:rsid w:val="00374ED1"/>
    <w:rsid w:val="003751A2"/>
    <w:rsid w:val="00375589"/>
    <w:rsid w:val="003758B2"/>
    <w:rsid w:val="003759EC"/>
    <w:rsid w:val="00376406"/>
    <w:rsid w:val="003768DB"/>
    <w:rsid w:val="00376902"/>
    <w:rsid w:val="003771FD"/>
    <w:rsid w:val="003772CC"/>
    <w:rsid w:val="0037732C"/>
    <w:rsid w:val="00377374"/>
    <w:rsid w:val="00377D2B"/>
    <w:rsid w:val="00380252"/>
    <w:rsid w:val="003804A6"/>
    <w:rsid w:val="003807FB"/>
    <w:rsid w:val="00380AD8"/>
    <w:rsid w:val="00380FB1"/>
    <w:rsid w:val="00381004"/>
    <w:rsid w:val="003810A6"/>
    <w:rsid w:val="0038111C"/>
    <w:rsid w:val="003818A1"/>
    <w:rsid w:val="0038195A"/>
    <w:rsid w:val="00381A7A"/>
    <w:rsid w:val="00381B25"/>
    <w:rsid w:val="00381FD3"/>
    <w:rsid w:val="003828C9"/>
    <w:rsid w:val="00382967"/>
    <w:rsid w:val="00382A7D"/>
    <w:rsid w:val="0038321E"/>
    <w:rsid w:val="003839AD"/>
    <w:rsid w:val="00384849"/>
    <w:rsid w:val="003849AB"/>
    <w:rsid w:val="00384DB8"/>
    <w:rsid w:val="00385139"/>
    <w:rsid w:val="00385244"/>
    <w:rsid w:val="00385F25"/>
    <w:rsid w:val="0038615B"/>
    <w:rsid w:val="0038636D"/>
    <w:rsid w:val="00386434"/>
    <w:rsid w:val="0038691E"/>
    <w:rsid w:val="0038748C"/>
    <w:rsid w:val="00387714"/>
    <w:rsid w:val="00387785"/>
    <w:rsid w:val="00387D06"/>
    <w:rsid w:val="00387EB8"/>
    <w:rsid w:val="00387FEE"/>
    <w:rsid w:val="0039003A"/>
    <w:rsid w:val="00390396"/>
    <w:rsid w:val="0039046E"/>
    <w:rsid w:val="003907B0"/>
    <w:rsid w:val="00390B64"/>
    <w:rsid w:val="00390D69"/>
    <w:rsid w:val="0039108F"/>
    <w:rsid w:val="003912F3"/>
    <w:rsid w:val="0039279C"/>
    <w:rsid w:val="00392904"/>
    <w:rsid w:val="00392DCA"/>
    <w:rsid w:val="0039321D"/>
    <w:rsid w:val="003935A5"/>
    <w:rsid w:val="00393879"/>
    <w:rsid w:val="00393985"/>
    <w:rsid w:val="00394630"/>
    <w:rsid w:val="0039470C"/>
    <w:rsid w:val="00394776"/>
    <w:rsid w:val="00394AFF"/>
    <w:rsid w:val="00394E50"/>
    <w:rsid w:val="00395060"/>
    <w:rsid w:val="00395173"/>
    <w:rsid w:val="003956B3"/>
    <w:rsid w:val="00395B84"/>
    <w:rsid w:val="00395BAE"/>
    <w:rsid w:val="00395BD1"/>
    <w:rsid w:val="00395D36"/>
    <w:rsid w:val="003962DB"/>
    <w:rsid w:val="00396922"/>
    <w:rsid w:val="00396BBD"/>
    <w:rsid w:val="00396E90"/>
    <w:rsid w:val="003973F3"/>
    <w:rsid w:val="003979C1"/>
    <w:rsid w:val="00397C05"/>
    <w:rsid w:val="003A0073"/>
    <w:rsid w:val="003A036E"/>
    <w:rsid w:val="003A053D"/>
    <w:rsid w:val="003A05EC"/>
    <w:rsid w:val="003A0AF1"/>
    <w:rsid w:val="003A0BB1"/>
    <w:rsid w:val="003A0D45"/>
    <w:rsid w:val="003A0E46"/>
    <w:rsid w:val="003A0E7C"/>
    <w:rsid w:val="003A1806"/>
    <w:rsid w:val="003A1913"/>
    <w:rsid w:val="003A19BE"/>
    <w:rsid w:val="003A1A9F"/>
    <w:rsid w:val="003A1F5D"/>
    <w:rsid w:val="003A23C9"/>
    <w:rsid w:val="003A2430"/>
    <w:rsid w:val="003A2D87"/>
    <w:rsid w:val="003A39C2"/>
    <w:rsid w:val="003A3D6E"/>
    <w:rsid w:val="003A3DD6"/>
    <w:rsid w:val="003A3EBF"/>
    <w:rsid w:val="003A400F"/>
    <w:rsid w:val="003A4223"/>
    <w:rsid w:val="003A44C0"/>
    <w:rsid w:val="003A47FA"/>
    <w:rsid w:val="003A4BFC"/>
    <w:rsid w:val="003A4C7C"/>
    <w:rsid w:val="003A5451"/>
    <w:rsid w:val="003A5A32"/>
    <w:rsid w:val="003A5C7E"/>
    <w:rsid w:val="003A6052"/>
    <w:rsid w:val="003A661E"/>
    <w:rsid w:val="003A689C"/>
    <w:rsid w:val="003A6A3B"/>
    <w:rsid w:val="003A6F45"/>
    <w:rsid w:val="003A6FAC"/>
    <w:rsid w:val="003A711E"/>
    <w:rsid w:val="003A7A6B"/>
    <w:rsid w:val="003A7B58"/>
    <w:rsid w:val="003A7BD7"/>
    <w:rsid w:val="003B0396"/>
    <w:rsid w:val="003B06E5"/>
    <w:rsid w:val="003B0884"/>
    <w:rsid w:val="003B0886"/>
    <w:rsid w:val="003B1028"/>
    <w:rsid w:val="003B1237"/>
    <w:rsid w:val="003B1707"/>
    <w:rsid w:val="003B17F0"/>
    <w:rsid w:val="003B195B"/>
    <w:rsid w:val="003B2BC7"/>
    <w:rsid w:val="003B2C5A"/>
    <w:rsid w:val="003B2D84"/>
    <w:rsid w:val="003B3F54"/>
    <w:rsid w:val="003B40BB"/>
    <w:rsid w:val="003B4883"/>
    <w:rsid w:val="003B5214"/>
    <w:rsid w:val="003B522E"/>
    <w:rsid w:val="003B5281"/>
    <w:rsid w:val="003B55F3"/>
    <w:rsid w:val="003B56DD"/>
    <w:rsid w:val="003B57E1"/>
    <w:rsid w:val="003B5846"/>
    <w:rsid w:val="003B60B8"/>
    <w:rsid w:val="003B6945"/>
    <w:rsid w:val="003B6D1A"/>
    <w:rsid w:val="003B6FCD"/>
    <w:rsid w:val="003B7370"/>
    <w:rsid w:val="003B76DA"/>
    <w:rsid w:val="003B7774"/>
    <w:rsid w:val="003B7800"/>
    <w:rsid w:val="003B7EA2"/>
    <w:rsid w:val="003C0145"/>
    <w:rsid w:val="003C034C"/>
    <w:rsid w:val="003C06BC"/>
    <w:rsid w:val="003C0AAA"/>
    <w:rsid w:val="003C0CEF"/>
    <w:rsid w:val="003C1442"/>
    <w:rsid w:val="003C16E7"/>
    <w:rsid w:val="003C1AE5"/>
    <w:rsid w:val="003C1B51"/>
    <w:rsid w:val="003C2B75"/>
    <w:rsid w:val="003C2E31"/>
    <w:rsid w:val="003C349E"/>
    <w:rsid w:val="003C3764"/>
    <w:rsid w:val="003C4013"/>
    <w:rsid w:val="003C43D2"/>
    <w:rsid w:val="003C450A"/>
    <w:rsid w:val="003C4611"/>
    <w:rsid w:val="003C4E9C"/>
    <w:rsid w:val="003C4FE5"/>
    <w:rsid w:val="003C514F"/>
    <w:rsid w:val="003C53B3"/>
    <w:rsid w:val="003C5B51"/>
    <w:rsid w:val="003C6DF4"/>
    <w:rsid w:val="003C7188"/>
    <w:rsid w:val="003C7421"/>
    <w:rsid w:val="003C7506"/>
    <w:rsid w:val="003C7628"/>
    <w:rsid w:val="003C7707"/>
    <w:rsid w:val="003C7D23"/>
    <w:rsid w:val="003C7FC0"/>
    <w:rsid w:val="003D029E"/>
    <w:rsid w:val="003D041A"/>
    <w:rsid w:val="003D0677"/>
    <w:rsid w:val="003D0987"/>
    <w:rsid w:val="003D0B97"/>
    <w:rsid w:val="003D0CC4"/>
    <w:rsid w:val="003D1524"/>
    <w:rsid w:val="003D1721"/>
    <w:rsid w:val="003D2027"/>
    <w:rsid w:val="003D20DF"/>
    <w:rsid w:val="003D23EF"/>
    <w:rsid w:val="003D269D"/>
    <w:rsid w:val="003D2BF9"/>
    <w:rsid w:val="003D2F64"/>
    <w:rsid w:val="003D35D0"/>
    <w:rsid w:val="003D3718"/>
    <w:rsid w:val="003D3A6A"/>
    <w:rsid w:val="003D3B78"/>
    <w:rsid w:val="003D3BE0"/>
    <w:rsid w:val="003D40A6"/>
    <w:rsid w:val="003D412F"/>
    <w:rsid w:val="003D4454"/>
    <w:rsid w:val="003D4865"/>
    <w:rsid w:val="003D4A2E"/>
    <w:rsid w:val="003D4F06"/>
    <w:rsid w:val="003D5008"/>
    <w:rsid w:val="003D5186"/>
    <w:rsid w:val="003D5771"/>
    <w:rsid w:val="003D5EB0"/>
    <w:rsid w:val="003D61FE"/>
    <w:rsid w:val="003D6F78"/>
    <w:rsid w:val="003D7648"/>
    <w:rsid w:val="003D7713"/>
    <w:rsid w:val="003D794C"/>
    <w:rsid w:val="003D7BCB"/>
    <w:rsid w:val="003D7ECA"/>
    <w:rsid w:val="003D7F25"/>
    <w:rsid w:val="003D7FC0"/>
    <w:rsid w:val="003E007B"/>
    <w:rsid w:val="003E04DE"/>
    <w:rsid w:val="003E06AE"/>
    <w:rsid w:val="003E076C"/>
    <w:rsid w:val="003E0911"/>
    <w:rsid w:val="003E0B40"/>
    <w:rsid w:val="003E0C7A"/>
    <w:rsid w:val="003E0EF1"/>
    <w:rsid w:val="003E17BB"/>
    <w:rsid w:val="003E211A"/>
    <w:rsid w:val="003E24BD"/>
    <w:rsid w:val="003E279E"/>
    <w:rsid w:val="003E2A05"/>
    <w:rsid w:val="003E2DA4"/>
    <w:rsid w:val="003E364E"/>
    <w:rsid w:val="003E3C22"/>
    <w:rsid w:val="003E3C6B"/>
    <w:rsid w:val="003E5168"/>
    <w:rsid w:val="003E59E9"/>
    <w:rsid w:val="003E5BBC"/>
    <w:rsid w:val="003E5D5F"/>
    <w:rsid w:val="003E5D71"/>
    <w:rsid w:val="003E618D"/>
    <w:rsid w:val="003E65D4"/>
    <w:rsid w:val="003E663E"/>
    <w:rsid w:val="003E6860"/>
    <w:rsid w:val="003E7096"/>
    <w:rsid w:val="003E72DE"/>
    <w:rsid w:val="003E736D"/>
    <w:rsid w:val="003E7469"/>
    <w:rsid w:val="003E75E6"/>
    <w:rsid w:val="003E7642"/>
    <w:rsid w:val="003E7A27"/>
    <w:rsid w:val="003E7C4D"/>
    <w:rsid w:val="003E7CCA"/>
    <w:rsid w:val="003E7D84"/>
    <w:rsid w:val="003E7ED1"/>
    <w:rsid w:val="003F00C7"/>
    <w:rsid w:val="003F06E5"/>
    <w:rsid w:val="003F0D5A"/>
    <w:rsid w:val="003F0F16"/>
    <w:rsid w:val="003F1472"/>
    <w:rsid w:val="003F14F3"/>
    <w:rsid w:val="003F158E"/>
    <w:rsid w:val="003F1CB5"/>
    <w:rsid w:val="003F1EF8"/>
    <w:rsid w:val="003F313C"/>
    <w:rsid w:val="003F34E3"/>
    <w:rsid w:val="003F4025"/>
    <w:rsid w:val="003F4B4B"/>
    <w:rsid w:val="003F4BE9"/>
    <w:rsid w:val="003F505B"/>
    <w:rsid w:val="003F59F5"/>
    <w:rsid w:val="003F5E2F"/>
    <w:rsid w:val="003F6184"/>
    <w:rsid w:val="003F65F6"/>
    <w:rsid w:val="003F68A9"/>
    <w:rsid w:val="003F7038"/>
    <w:rsid w:val="003F7321"/>
    <w:rsid w:val="003F7368"/>
    <w:rsid w:val="003F79E7"/>
    <w:rsid w:val="003F7C59"/>
    <w:rsid w:val="003F7D6B"/>
    <w:rsid w:val="004002E3"/>
    <w:rsid w:val="00400407"/>
    <w:rsid w:val="004006B3"/>
    <w:rsid w:val="00400A13"/>
    <w:rsid w:val="00400AE5"/>
    <w:rsid w:val="0040124C"/>
    <w:rsid w:val="004014B0"/>
    <w:rsid w:val="004014DE"/>
    <w:rsid w:val="00401E3D"/>
    <w:rsid w:val="00402112"/>
    <w:rsid w:val="0040219A"/>
    <w:rsid w:val="004021BE"/>
    <w:rsid w:val="0040220E"/>
    <w:rsid w:val="00402948"/>
    <w:rsid w:val="00402E4D"/>
    <w:rsid w:val="0040310F"/>
    <w:rsid w:val="0040316E"/>
    <w:rsid w:val="00403270"/>
    <w:rsid w:val="00403769"/>
    <w:rsid w:val="00403F6D"/>
    <w:rsid w:val="00404014"/>
    <w:rsid w:val="00404220"/>
    <w:rsid w:val="0040437A"/>
    <w:rsid w:val="004043A5"/>
    <w:rsid w:val="0040453E"/>
    <w:rsid w:val="004047C1"/>
    <w:rsid w:val="00404905"/>
    <w:rsid w:val="00404931"/>
    <w:rsid w:val="004049C1"/>
    <w:rsid w:val="00404F14"/>
    <w:rsid w:val="00405547"/>
    <w:rsid w:val="00405636"/>
    <w:rsid w:val="00406450"/>
    <w:rsid w:val="004065E5"/>
    <w:rsid w:val="00406AA7"/>
    <w:rsid w:val="00406AE5"/>
    <w:rsid w:val="004071DE"/>
    <w:rsid w:val="004073E0"/>
    <w:rsid w:val="00407665"/>
    <w:rsid w:val="00407666"/>
    <w:rsid w:val="0040775C"/>
    <w:rsid w:val="004078F7"/>
    <w:rsid w:val="004103AC"/>
    <w:rsid w:val="00410548"/>
    <w:rsid w:val="00411131"/>
    <w:rsid w:val="004111A9"/>
    <w:rsid w:val="004113A0"/>
    <w:rsid w:val="00411515"/>
    <w:rsid w:val="0041182A"/>
    <w:rsid w:val="00411D9D"/>
    <w:rsid w:val="00411FE4"/>
    <w:rsid w:val="00412A65"/>
    <w:rsid w:val="00413802"/>
    <w:rsid w:val="0041397A"/>
    <w:rsid w:val="00413DD3"/>
    <w:rsid w:val="00414284"/>
    <w:rsid w:val="00414301"/>
    <w:rsid w:val="004144D9"/>
    <w:rsid w:val="004148DB"/>
    <w:rsid w:val="004148DE"/>
    <w:rsid w:val="00414CD5"/>
    <w:rsid w:val="00414E2E"/>
    <w:rsid w:val="00414F0B"/>
    <w:rsid w:val="00415128"/>
    <w:rsid w:val="00415422"/>
    <w:rsid w:val="004155A3"/>
    <w:rsid w:val="00415686"/>
    <w:rsid w:val="00415FBA"/>
    <w:rsid w:val="00416640"/>
    <w:rsid w:val="0041684B"/>
    <w:rsid w:val="00416E88"/>
    <w:rsid w:val="00417AD0"/>
    <w:rsid w:val="00417B42"/>
    <w:rsid w:val="00417C17"/>
    <w:rsid w:val="00417CDA"/>
    <w:rsid w:val="00420029"/>
    <w:rsid w:val="0042091D"/>
    <w:rsid w:val="00420931"/>
    <w:rsid w:val="00420D79"/>
    <w:rsid w:val="00420F7E"/>
    <w:rsid w:val="00421281"/>
    <w:rsid w:val="0042134B"/>
    <w:rsid w:val="00421B63"/>
    <w:rsid w:val="00421E1B"/>
    <w:rsid w:val="00422247"/>
    <w:rsid w:val="00422298"/>
    <w:rsid w:val="0042230A"/>
    <w:rsid w:val="004226E0"/>
    <w:rsid w:val="00422D3B"/>
    <w:rsid w:val="004234BC"/>
    <w:rsid w:val="00423EAC"/>
    <w:rsid w:val="0042404D"/>
    <w:rsid w:val="00424059"/>
    <w:rsid w:val="00424782"/>
    <w:rsid w:val="00424983"/>
    <w:rsid w:val="00424C87"/>
    <w:rsid w:val="00424CE8"/>
    <w:rsid w:val="00424DBD"/>
    <w:rsid w:val="00425015"/>
    <w:rsid w:val="0042513E"/>
    <w:rsid w:val="00425B6F"/>
    <w:rsid w:val="0042666D"/>
    <w:rsid w:val="0042687C"/>
    <w:rsid w:val="004268E9"/>
    <w:rsid w:val="004268F4"/>
    <w:rsid w:val="00427376"/>
    <w:rsid w:val="004273A9"/>
    <w:rsid w:val="004273AB"/>
    <w:rsid w:val="004277AA"/>
    <w:rsid w:val="004278EA"/>
    <w:rsid w:val="00427A9C"/>
    <w:rsid w:val="00430B7A"/>
    <w:rsid w:val="00430BD0"/>
    <w:rsid w:val="00430ECF"/>
    <w:rsid w:val="00431368"/>
    <w:rsid w:val="004313BE"/>
    <w:rsid w:val="0043157E"/>
    <w:rsid w:val="004317D1"/>
    <w:rsid w:val="004318E3"/>
    <w:rsid w:val="00431B0B"/>
    <w:rsid w:val="00431E98"/>
    <w:rsid w:val="00431F59"/>
    <w:rsid w:val="00432040"/>
    <w:rsid w:val="00432209"/>
    <w:rsid w:val="00432423"/>
    <w:rsid w:val="004327F2"/>
    <w:rsid w:val="00432983"/>
    <w:rsid w:val="00432A9D"/>
    <w:rsid w:val="00432B6C"/>
    <w:rsid w:val="004330F1"/>
    <w:rsid w:val="0043331D"/>
    <w:rsid w:val="00433B5E"/>
    <w:rsid w:val="00433C7C"/>
    <w:rsid w:val="00433D6E"/>
    <w:rsid w:val="00434001"/>
    <w:rsid w:val="004357CD"/>
    <w:rsid w:val="00435CD8"/>
    <w:rsid w:val="00435EC6"/>
    <w:rsid w:val="0043602D"/>
    <w:rsid w:val="004365A8"/>
    <w:rsid w:val="004368A3"/>
    <w:rsid w:val="00436963"/>
    <w:rsid w:val="0043699A"/>
    <w:rsid w:val="00436AF7"/>
    <w:rsid w:val="0043791C"/>
    <w:rsid w:val="00437FC9"/>
    <w:rsid w:val="00440030"/>
    <w:rsid w:val="00440654"/>
    <w:rsid w:val="00440734"/>
    <w:rsid w:val="004409DD"/>
    <w:rsid w:val="00440CDC"/>
    <w:rsid w:val="00440E3D"/>
    <w:rsid w:val="00440F8C"/>
    <w:rsid w:val="00441642"/>
    <w:rsid w:val="004419AD"/>
    <w:rsid w:val="00441B6F"/>
    <w:rsid w:val="00441C1A"/>
    <w:rsid w:val="00441E80"/>
    <w:rsid w:val="00441EE0"/>
    <w:rsid w:val="00442035"/>
    <w:rsid w:val="004420D7"/>
    <w:rsid w:val="00442287"/>
    <w:rsid w:val="004422F3"/>
    <w:rsid w:val="004443C7"/>
    <w:rsid w:val="00444520"/>
    <w:rsid w:val="0044454E"/>
    <w:rsid w:val="004447C2"/>
    <w:rsid w:val="00444FF4"/>
    <w:rsid w:val="00445102"/>
    <w:rsid w:val="0044569B"/>
    <w:rsid w:val="0044580E"/>
    <w:rsid w:val="004459BD"/>
    <w:rsid w:val="00445BAA"/>
    <w:rsid w:val="00445E91"/>
    <w:rsid w:val="00446523"/>
    <w:rsid w:val="00446566"/>
    <w:rsid w:val="004466E1"/>
    <w:rsid w:val="00446708"/>
    <w:rsid w:val="00447564"/>
    <w:rsid w:val="004475B2"/>
    <w:rsid w:val="00447B00"/>
    <w:rsid w:val="00447FFA"/>
    <w:rsid w:val="004504B6"/>
    <w:rsid w:val="00450595"/>
    <w:rsid w:val="00450ADE"/>
    <w:rsid w:val="00450BC1"/>
    <w:rsid w:val="00450C99"/>
    <w:rsid w:val="00450DBB"/>
    <w:rsid w:val="00450EA2"/>
    <w:rsid w:val="00450FF8"/>
    <w:rsid w:val="00451311"/>
    <w:rsid w:val="00451942"/>
    <w:rsid w:val="00452536"/>
    <w:rsid w:val="00452551"/>
    <w:rsid w:val="00452972"/>
    <w:rsid w:val="00452C56"/>
    <w:rsid w:val="00452CA1"/>
    <w:rsid w:val="00452DCA"/>
    <w:rsid w:val="00452E7A"/>
    <w:rsid w:val="004532B6"/>
    <w:rsid w:val="00453927"/>
    <w:rsid w:val="00453B76"/>
    <w:rsid w:val="00453CC2"/>
    <w:rsid w:val="00453FE1"/>
    <w:rsid w:val="004545F1"/>
    <w:rsid w:val="00454834"/>
    <w:rsid w:val="00454BF3"/>
    <w:rsid w:val="0045532F"/>
    <w:rsid w:val="00455B99"/>
    <w:rsid w:val="00455C3F"/>
    <w:rsid w:val="00455E11"/>
    <w:rsid w:val="00456055"/>
    <w:rsid w:val="0045640F"/>
    <w:rsid w:val="004564C3"/>
    <w:rsid w:val="0045653A"/>
    <w:rsid w:val="0045662C"/>
    <w:rsid w:val="004566E9"/>
    <w:rsid w:val="00456775"/>
    <w:rsid w:val="0045692D"/>
    <w:rsid w:val="004569B5"/>
    <w:rsid w:val="00456CD1"/>
    <w:rsid w:val="0045705D"/>
    <w:rsid w:val="00457258"/>
    <w:rsid w:val="0045739C"/>
    <w:rsid w:val="00457402"/>
    <w:rsid w:val="00457916"/>
    <w:rsid w:val="00457C9B"/>
    <w:rsid w:val="00457E04"/>
    <w:rsid w:val="00460350"/>
    <w:rsid w:val="004603BD"/>
    <w:rsid w:val="00460420"/>
    <w:rsid w:val="0046059A"/>
    <w:rsid w:val="00460782"/>
    <w:rsid w:val="00460B9C"/>
    <w:rsid w:val="00460C20"/>
    <w:rsid w:val="004615F4"/>
    <w:rsid w:val="0046191F"/>
    <w:rsid w:val="0046196C"/>
    <w:rsid w:val="00461CC8"/>
    <w:rsid w:val="00461E23"/>
    <w:rsid w:val="0046222F"/>
    <w:rsid w:val="00462311"/>
    <w:rsid w:val="004623B1"/>
    <w:rsid w:val="0046272A"/>
    <w:rsid w:val="00462F14"/>
    <w:rsid w:val="00462F15"/>
    <w:rsid w:val="004631BE"/>
    <w:rsid w:val="00463274"/>
    <w:rsid w:val="004632AC"/>
    <w:rsid w:val="00463A2A"/>
    <w:rsid w:val="00463BCE"/>
    <w:rsid w:val="00463F10"/>
    <w:rsid w:val="0046480A"/>
    <w:rsid w:val="0046489B"/>
    <w:rsid w:val="00464AA4"/>
    <w:rsid w:val="00464C04"/>
    <w:rsid w:val="00464D0E"/>
    <w:rsid w:val="00464EC7"/>
    <w:rsid w:val="0046546E"/>
    <w:rsid w:val="0046552A"/>
    <w:rsid w:val="004656E3"/>
    <w:rsid w:val="00465B23"/>
    <w:rsid w:val="00465B7B"/>
    <w:rsid w:val="00466DC9"/>
    <w:rsid w:val="004672AC"/>
    <w:rsid w:val="004673EB"/>
    <w:rsid w:val="00470510"/>
    <w:rsid w:val="004706D6"/>
    <w:rsid w:val="00470865"/>
    <w:rsid w:val="00470940"/>
    <w:rsid w:val="00470C51"/>
    <w:rsid w:val="004712FC"/>
    <w:rsid w:val="004715D9"/>
    <w:rsid w:val="0047176A"/>
    <w:rsid w:val="0047222D"/>
    <w:rsid w:val="004726A4"/>
    <w:rsid w:val="0047283F"/>
    <w:rsid w:val="00472A02"/>
    <w:rsid w:val="00472BD6"/>
    <w:rsid w:val="00472DE9"/>
    <w:rsid w:val="00472FC3"/>
    <w:rsid w:val="0047307A"/>
    <w:rsid w:val="0047333E"/>
    <w:rsid w:val="004734D2"/>
    <w:rsid w:val="0047397D"/>
    <w:rsid w:val="00473F52"/>
    <w:rsid w:val="0047429D"/>
    <w:rsid w:val="004743E3"/>
    <w:rsid w:val="00474751"/>
    <w:rsid w:val="0047490C"/>
    <w:rsid w:val="00474992"/>
    <w:rsid w:val="00474B24"/>
    <w:rsid w:val="00474C99"/>
    <w:rsid w:val="00474D3C"/>
    <w:rsid w:val="004755FF"/>
    <w:rsid w:val="00475E44"/>
    <w:rsid w:val="00476F03"/>
    <w:rsid w:val="00477031"/>
    <w:rsid w:val="004772F5"/>
    <w:rsid w:val="004773B1"/>
    <w:rsid w:val="00477B3E"/>
    <w:rsid w:val="00477E45"/>
    <w:rsid w:val="00480091"/>
    <w:rsid w:val="00480542"/>
    <w:rsid w:val="0048065B"/>
    <w:rsid w:val="00481324"/>
    <w:rsid w:val="0048145B"/>
    <w:rsid w:val="004814CE"/>
    <w:rsid w:val="004818B6"/>
    <w:rsid w:val="00481DAD"/>
    <w:rsid w:val="00482216"/>
    <w:rsid w:val="004826E3"/>
    <w:rsid w:val="0048279C"/>
    <w:rsid w:val="004827C5"/>
    <w:rsid w:val="00482DC2"/>
    <w:rsid w:val="004831F4"/>
    <w:rsid w:val="00483473"/>
    <w:rsid w:val="00483807"/>
    <w:rsid w:val="004838A1"/>
    <w:rsid w:val="004838EC"/>
    <w:rsid w:val="004839A8"/>
    <w:rsid w:val="00483AB4"/>
    <w:rsid w:val="00484040"/>
    <w:rsid w:val="0048424F"/>
    <w:rsid w:val="00484482"/>
    <w:rsid w:val="004845AC"/>
    <w:rsid w:val="00484DCA"/>
    <w:rsid w:val="00484FF3"/>
    <w:rsid w:val="00485402"/>
    <w:rsid w:val="004855F1"/>
    <w:rsid w:val="00485970"/>
    <w:rsid w:val="00485EFE"/>
    <w:rsid w:val="00485FBB"/>
    <w:rsid w:val="004861E2"/>
    <w:rsid w:val="0048643E"/>
    <w:rsid w:val="004864B9"/>
    <w:rsid w:val="00486518"/>
    <w:rsid w:val="00486567"/>
    <w:rsid w:val="00486A19"/>
    <w:rsid w:val="00486B21"/>
    <w:rsid w:val="00486F42"/>
    <w:rsid w:val="00486F5C"/>
    <w:rsid w:val="00486F8C"/>
    <w:rsid w:val="00487170"/>
    <w:rsid w:val="00487172"/>
    <w:rsid w:val="0049051B"/>
    <w:rsid w:val="004905AC"/>
    <w:rsid w:val="00490E17"/>
    <w:rsid w:val="0049103C"/>
    <w:rsid w:val="004910A2"/>
    <w:rsid w:val="0049138F"/>
    <w:rsid w:val="00491A37"/>
    <w:rsid w:val="00491F24"/>
    <w:rsid w:val="00491F31"/>
    <w:rsid w:val="0049206C"/>
    <w:rsid w:val="004921C0"/>
    <w:rsid w:val="00492419"/>
    <w:rsid w:val="00492526"/>
    <w:rsid w:val="00492597"/>
    <w:rsid w:val="004925AF"/>
    <w:rsid w:val="00492728"/>
    <w:rsid w:val="00492EF7"/>
    <w:rsid w:val="004931CA"/>
    <w:rsid w:val="00493CEF"/>
    <w:rsid w:val="00494244"/>
    <w:rsid w:val="00494796"/>
    <w:rsid w:val="00494AD6"/>
    <w:rsid w:val="00494E1C"/>
    <w:rsid w:val="00495071"/>
    <w:rsid w:val="004950FF"/>
    <w:rsid w:val="00495116"/>
    <w:rsid w:val="00495232"/>
    <w:rsid w:val="00495964"/>
    <w:rsid w:val="00495A27"/>
    <w:rsid w:val="00495FD7"/>
    <w:rsid w:val="0049653C"/>
    <w:rsid w:val="004968DF"/>
    <w:rsid w:val="00497104"/>
    <w:rsid w:val="004971F1"/>
    <w:rsid w:val="00497558"/>
    <w:rsid w:val="00497D56"/>
    <w:rsid w:val="00497D8F"/>
    <w:rsid w:val="004A02AE"/>
    <w:rsid w:val="004A052D"/>
    <w:rsid w:val="004A0544"/>
    <w:rsid w:val="004A0C98"/>
    <w:rsid w:val="004A202D"/>
    <w:rsid w:val="004A2194"/>
    <w:rsid w:val="004A24C9"/>
    <w:rsid w:val="004A28E0"/>
    <w:rsid w:val="004A28E7"/>
    <w:rsid w:val="004A2B1B"/>
    <w:rsid w:val="004A2BAB"/>
    <w:rsid w:val="004A3377"/>
    <w:rsid w:val="004A3468"/>
    <w:rsid w:val="004A34DA"/>
    <w:rsid w:val="004A3618"/>
    <w:rsid w:val="004A3795"/>
    <w:rsid w:val="004A3AF5"/>
    <w:rsid w:val="004A3BE4"/>
    <w:rsid w:val="004A3C24"/>
    <w:rsid w:val="004A4376"/>
    <w:rsid w:val="004A47F6"/>
    <w:rsid w:val="004A492C"/>
    <w:rsid w:val="004A49AC"/>
    <w:rsid w:val="004A4ADC"/>
    <w:rsid w:val="004A4D8B"/>
    <w:rsid w:val="004A4EE1"/>
    <w:rsid w:val="004A4FB9"/>
    <w:rsid w:val="004A5635"/>
    <w:rsid w:val="004A56E9"/>
    <w:rsid w:val="004A59A0"/>
    <w:rsid w:val="004A5ADC"/>
    <w:rsid w:val="004A5B14"/>
    <w:rsid w:val="004A5EDB"/>
    <w:rsid w:val="004A6082"/>
    <w:rsid w:val="004A6132"/>
    <w:rsid w:val="004A6207"/>
    <w:rsid w:val="004A627D"/>
    <w:rsid w:val="004A68EA"/>
    <w:rsid w:val="004A691E"/>
    <w:rsid w:val="004A6EA0"/>
    <w:rsid w:val="004A72ED"/>
    <w:rsid w:val="004A7661"/>
    <w:rsid w:val="004A78BE"/>
    <w:rsid w:val="004A7CAA"/>
    <w:rsid w:val="004A7D80"/>
    <w:rsid w:val="004B0178"/>
    <w:rsid w:val="004B0485"/>
    <w:rsid w:val="004B0B85"/>
    <w:rsid w:val="004B0D3D"/>
    <w:rsid w:val="004B1650"/>
    <w:rsid w:val="004B1889"/>
    <w:rsid w:val="004B1940"/>
    <w:rsid w:val="004B1B92"/>
    <w:rsid w:val="004B209C"/>
    <w:rsid w:val="004B232D"/>
    <w:rsid w:val="004B2689"/>
    <w:rsid w:val="004B26F2"/>
    <w:rsid w:val="004B27AC"/>
    <w:rsid w:val="004B281B"/>
    <w:rsid w:val="004B2950"/>
    <w:rsid w:val="004B2CA7"/>
    <w:rsid w:val="004B2FD5"/>
    <w:rsid w:val="004B3374"/>
    <w:rsid w:val="004B33FA"/>
    <w:rsid w:val="004B38E4"/>
    <w:rsid w:val="004B46AF"/>
    <w:rsid w:val="004B4C32"/>
    <w:rsid w:val="004B4E48"/>
    <w:rsid w:val="004B4E5C"/>
    <w:rsid w:val="004B5027"/>
    <w:rsid w:val="004B51B7"/>
    <w:rsid w:val="004B5265"/>
    <w:rsid w:val="004B5787"/>
    <w:rsid w:val="004B5955"/>
    <w:rsid w:val="004B6264"/>
    <w:rsid w:val="004B6329"/>
    <w:rsid w:val="004B6937"/>
    <w:rsid w:val="004B6F0E"/>
    <w:rsid w:val="004B70CD"/>
    <w:rsid w:val="004B7D47"/>
    <w:rsid w:val="004C0071"/>
    <w:rsid w:val="004C0581"/>
    <w:rsid w:val="004C0734"/>
    <w:rsid w:val="004C0E93"/>
    <w:rsid w:val="004C0F6D"/>
    <w:rsid w:val="004C1149"/>
    <w:rsid w:val="004C140D"/>
    <w:rsid w:val="004C1C58"/>
    <w:rsid w:val="004C1CD0"/>
    <w:rsid w:val="004C22A2"/>
    <w:rsid w:val="004C23CB"/>
    <w:rsid w:val="004C252B"/>
    <w:rsid w:val="004C2754"/>
    <w:rsid w:val="004C2970"/>
    <w:rsid w:val="004C2A44"/>
    <w:rsid w:val="004C3523"/>
    <w:rsid w:val="004C389C"/>
    <w:rsid w:val="004C3962"/>
    <w:rsid w:val="004C403A"/>
    <w:rsid w:val="004C4303"/>
    <w:rsid w:val="004C43C5"/>
    <w:rsid w:val="004C486A"/>
    <w:rsid w:val="004C6093"/>
    <w:rsid w:val="004C6190"/>
    <w:rsid w:val="004C62E2"/>
    <w:rsid w:val="004C6333"/>
    <w:rsid w:val="004C666D"/>
    <w:rsid w:val="004C6E73"/>
    <w:rsid w:val="004C7C31"/>
    <w:rsid w:val="004D0004"/>
    <w:rsid w:val="004D02C6"/>
    <w:rsid w:val="004D089F"/>
    <w:rsid w:val="004D0935"/>
    <w:rsid w:val="004D0C0D"/>
    <w:rsid w:val="004D0C52"/>
    <w:rsid w:val="004D0F8E"/>
    <w:rsid w:val="004D160A"/>
    <w:rsid w:val="004D1701"/>
    <w:rsid w:val="004D1C8A"/>
    <w:rsid w:val="004D1E27"/>
    <w:rsid w:val="004D243A"/>
    <w:rsid w:val="004D251C"/>
    <w:rsid w:val="004D328C"/>
    <w:rsid w:val="004D3543"/>
    <w:rsid w:val="004D3BF2"/>
    <w:rsid w:val="004D4398"/>
    <w:rsid w:val="004D456E"/>
    <w:rsid w:val="004D4A80"/>
    <w:rsid w:val="004D4DBA"/>
    <w:rsid w:val="004D4E4D"/>
    <w:rsid w:val="004D53DC"/>
    <w:rsid w:val="004D54B2"/>
    <w:rsid w:val="004D5DF5"/>
    <w:rsid w:val="004D6113"/>
    <w:rsid w:val="004D61CC"/>
    <w:rsid w:val="004D6244"/>
    <w:rsid w:val="004D6289"/>
    <w:rsid w:val="004D647A"/>
    <w:rsid w:val="004D6967"/>
    <w:rsid w:val="004D6E8F"/>
    <w:rsid w:val="004D6F5D"/>
    <w:rsid w:val="004D7A73"/>
    <w:rsid w:val="004D7C28"/>
    <w:rsid w:val="004D7D22"/>
    <w:rsid w:val="004E00C6"/>
    <w:rsid w:val="004E0519"/>
    <w:rsid w:val="004E05F1"/>
    <w:rsid w:val="004E06F7"/>
    <w:rsid w:val="004E0945"/>
    <w:rsid w:val="004E0C25"/>
    <w:rsid w:val="004E140D"/>
    <w:rsid w:val="004E147F"/>
    <w:rsid w:val="004E15FF"/>
    <w:rsid w:val="004E184B"/>
    <w:rsid w:val="004E2149"/>
    <w:rsid w:val="004E219B"/>
    <w:rsid w:val="004E21D7"/>
    <w:rsid w:val="004E2237"/>
    <w:rsid w:val="004E2285"/>
    <w:rsid w:val="004E2644"/>
    <w:rsid w:val="004E2648"/>
    <w:rsid w:val="004E2A8E"/>
    <w:rsid w:val="004E3121"/>
    <w:rsid w:val="004E31D0"/>
    <w:rsid w:val="004E328C"/>
    <w:rsid w:val="004E3459"/>
    <w:rsid w:val="004E35D8"/>
    <w:rsid w:val="004E3C8E"/>
    <w:rsid w:val="004E4030"/>
    <w:rsid w:val="004E4048"/>
    <w:rsid w:val="004E4087"/>
    <w:rsid w:val="004E422B"/>
    <w:rsid w:val="004E4A28"/>
    <w:rsid w:val="004E52BD"/>
    <w:rsid w:val="004E55C7"/>
    <w:rsid w:val="004E56A9"/>
    <w:rsid w:val="004E59F0"/>
    <w:rsid w:val="004E5A1C"/>
    <w:rsid w:val="004E5A65"/>
    <w:rsid w:val="004E6261"/>
    <w:rsid w:val="004E6605"/>
    <w:rsid w:val="004E69E9"/>
    <w:rsid w:val="004E6E06"/>
    <w:rsid w:val="004E6E55"/>
    <w:rsid w:val="004E7142"/>
    <w:rsid w:val="004E7149"/>
    <w:rsid w:val="004E796E"/>
    <w:rsid w:val="004E7D01"/>
    <w:rsid w:val="004F0390"/>
    <w:rsid w:val="004F07AD"/>
    <w:rsid w:val="004F0972"/>
    <w:rsid w:val="004F0A89"/>
    <w:rsid w:val="004F0ADF"/>
    <w:rsid w:val="004F12B7"/>
    <w:rsid w:val="004F170A"/>
    <w:rsid w:val="004F1C0B"/>
    <w:rsid w:val="004F1EC0"/>
    <w:rsid w:val="004F1FD1"/>
    <w:rsid w:val="004F254A"/>
    <w:rsid w:val="004F342A"/>
    <w:rsid w:val="004F3807"/>
    <w:rsid w:val="004F3D7C"/>
    <w:rsid w:val="004F3F44"/>
    <w:rsid w:val="004F55EC"/>
    <w:rsid w:val="004F56C1"/>
    <w:rsid w:val="004F57D7"/>
    <w:rsid w:val="004F57E5"/>
    <w:rsid w:val="004F5CAA"/>
    <w:rsid w:val="004F5E93"/>
    <w:rsid w:val="004F6124"/>
    <w:rsid w:val="004F62C1"/>
    <w:rsid w:val="004F63EA"/>
    <w:rsid w:val="004F64B0"/>
    <w:rsid w:val="004F68D3"/>
    <w:rsid w:val="004F6BEF"/>
    <w:rsid w:val="004F6D47"/>
    <w:rsid w:val="004F6D9A"/>
    <w:rsid w:val="004F7279"/>
    <w:rsid w:val="004F7591"/>
    <w:rsid w:val="004F799E"/>
    <w:rsid w:val="004F7F34"/>
    <w:rsid w:val="005002CA"/>
    <w:rsid w:val="0050081E"/>
    <w:rsid w:val="00500D90"/>
    <w:rsid w:val="00500FE4"/>
    <w:rsid w:val="005013ED"/>
    <w:rsid w:val="005014B9"/>
    <w:rsid w:val="00501710"/>
    <w:rsid w:val="00501C5E"/>
    <w:rsid w:val="00501D89"/>
    <w:rsid w:val="005020B5"/>
    <w:rsid w:val="005021C0"/>
    <w:rsid w:val="00502B05"/>
    <w:rsid w:val="00502FAE"/>
    <w:rsid w:val="00503105"/>
    <w:rsid w:val="0050329F"/>
    <w:rsid w:val="00503401"/>
    <w:rsid w:val="00503534"/>
    <w:rsid w:val="005035EF"/>
    <w:rsid w:val="00503628"/>
    <w:rsid w:val="0050371B"/>
    <w:rsid w:val="0050388E"/>
    <w:rsid w:val="00503BBB"/>
    <w:rsid w:val="00504019"/>
    <w:rsid w:val="005041C9"/>
    <w:rsid w:val="005047CE"/>
    <w:rsid w:val="005048BF"/>
    <w:rsid w:val="005050FB"/>
    <w:rsid w:val="00505383"/>
    <w:rsid w:val="00505855"/>
    <w:rsid w:val="005062B0"/>
    <w:rsid w:val="00506365"/>
    <w:rsid w:val="00506651"/>
    <w:rsid w:val="0050672A"/>
    <w:rsid w:val="00506B76"/>
    <w:rsid w:val="00506D6F"/>
    <w:rsid w:val="00506FEB"/>
    <w:rsid w:val="00506FF3"/>
    <w:rsid w:val="00507048"/>
    <w:rsid w:val="0050713F"/>
    <w:rsid w:val="0050781F"/>
    <w:rsid w:val="00507896"/>
    <w:rsid w:val="00510351"/>
    <w:rsid w:val="005103B9"/>
    <w:rsid w:val="005103FD"/>
    <w:rsid w:val="00510D61"/>
    <w:rsid w:val="0051101A"/>
    <w:rsid w:val="00511034"/>
    <w:rsid w:val="005112F5"/>
    <w:rsid w:val="0051143C"/>
    <w:rsid w:val="005114EC"/>
    <w:rsid w:val="00511F43"/>
    <w:rsid w:val="00512256"/>
    <w:rsid w:val="005129AF"/>
    <w:rsid w:val="00512C6B"/>
    <w:rsid w:val="00512D57"/>
    <w:rsid w:val="00512DDB"/>
    <w:rsid w:val="005133DC"/>
    <w:rsid w:val="00513B6A"/>
    <w:rsid w:val="00513E86"/>
    <w:rsid w:val="005145D8"/>
    <w:rsid w:val="00514E86"/>
    <w:rsid w:val="0051572E"/>
    <w:rsid w:val="0051597B"/>
    <w:rsid w:val="00515AD8"/>
    <w:rsid w:val="00515BB1"/>
    <w:rsid w:val="00515DDF"/>
    <w:rsid w:val="00515DF0"/>
    <w:rsid w:val="00515E62"/>
    <w:rsid w:val="005160BE"/>
    <w:rsid w:val="005162BF"/>
    <w:rsid w:val="00516BEB"/>
    <w:rsid w:val="00517212"/>
    <w:rsid w:val="005172B2"/>
    <w:rsid w:val="00517458"/>
    <w:rsid w:val="00517970"/>
    <w:rsid w:val="00517C90"/>
    <w:rsid w:val="005200E4"/>
    <w:rsid w:val="005205CC"/>
    <w:rsid w:val="0052060D"/>
    <w:rsid w:val="0052070A"/>
    <w:rsid w:val="0052092E"/>
    <w:rsid w:val="00520A51"/>
    <w:rsid w:val="00520BA1"/>
    <w:rsid w:val="005211AB"/>
    <w:rsid w:val="00521378"/>
    <w:rsid w:val="0052150F"/>
    <w:rsid w:val="00521B4B"/>
    <w:rsid w:val="00522009"/>
    <w:rsid w:val="005220AD"/>
    <w:rsid w:val="00522136"/>
    <w:rsid w:val="00522CDC"/>
    <w:rsid w:val="00522FBE"/>
    <w:rsid w:val="0052336A"/>
    <w:rsid w:val="005235F5"/>
    <w:rsid w:val="005238CD"/>
    <w:rsid w:val="005238E3"/>
    <w:rsid w:val="00523F4C"/>
    <w:rsid w:val="00523FA7"/>
    <w:rsid w:val="00524106"/>
    <w:rsid w:val="005242B0"/>
    <w:rsid w:val="0052467B"/>
    <w:rsid w:val="00525760"/>
    <w:rsid w:val="005257F9"/>
    <w:rsid w:val="00525ACD"/>
    <w:rsid w:val="00526AAF"/>
    <w:rsid w:val="00526D87"/>
    <w:rsid w:val="005271CE"/>
    <w:rsid w:val="0052737C"/>
    <w:rsid w:val="00527779"/>
    <w:rsid w:val="0052790A"/>
    <w:rsid w:val="00527999"/>
    <w:rsid w:val="00527B93"/>
    <w:rsid w:val="00527E6C"/>
    <w:rsid w:val="0053025C"/>
    <w:rsid w:val="005303F1"/>
    <w:rsid w:val="00530889"/>
    <w:rsid w:val="005309E7"/>
    <w:rsid w:val="005309FE"/>
    <w:rsid w:val="00530D14"/>
    <w:rsid w:val="005310FC"/>
    <w:rsid w:val="005311E5"/>
    <w:rsid w:val="005311EE"/>
    <w:rsid w:val="005312AA"/>
    <w:rsid w:val="00531448"/>
    <w:rsid w:val="00531B0A"/>
    <w:rsid w:val="00531F23"/>
    <w:rsid w:val="00532039"/>
    <w:rsid w:val="00532A5D"/>
    <w:rsid w:val="00532E2C"/>
    <w:rsid w:val="00532E73"/>
    <w:rsid w:val="00532F0F"/>
    <w:rsid w:val="0053308D"/>
    <w:rsid w:val="005330C9"/>
    <w:rsid w:val="00533174"/>
    <w:rsid w:val="005332D8"/>
    <w:rsid w:val="0053353D"/>
    <w:rsid w:val="00533AA9"/>
    <w:rsid w:val="00533ADC"/>
    <w:rsid w:val="00533CC3"/>
    <w:rsid w:val="005347C2"/>
    <w:rsid w:val="00534BAB"/>
    <w:rsid w:val="00534BB2"/>
    <w:rsid w:val="00534E9F"/>
    <w:rsid w:val="005350B5"/>
    <w:rsid w:val="005350E9"/>
    <w:rsid w:val="00535602"/>
    <w:rsid w:val="0053588A"/>
    <w:rsid w:val="00535996"/>
    <w:rsid w:val="00535C0B"/>
    <w:rsid w:val="00535CD2"/>
    <w:rsid w:val="00535CEA"/>
    <w:rsid w:val="00535DB2"/>
    <w:rsid w:val="00536142"/>
    <w:rsid w:val="005361C1"/>
    <w:rsid w:val="0053680C"/>
    <w:rsid w:val="00536BE5"/>
    <w:rsid w:val="00536D70"/>
    <w:rsid w:val="00536EB7"/>
    <w:rsid w:val="00536F17"/>
    <w:rsid w:val="0053707F"/>
    <w:rsid w:val="005371AA"/>
    <w:rsid w:val="005377CA"/>
    <w:rsid w:val="00537860"/>
    <w:rsid w:val="0054008F"/>
    <w:rsid w:val="00540470"/>
    <w:rsid w:val="005409CE"/>
    <w:rsid w:val="00540CDB"/>
    <w:rsid w:val="005410AD"/>
    <w:rsid w:val="005411B7"/>
    <w:rsid w:val="005415F3"/>
    <w:rsid w:val="00541AD2"/>
    <w:rsid w:val="00542105"/>
    <w:rsid w:val="00542D8E"/>
    <w:rsid w:val="00542EEF"/>
    <w:rsid w:val="00543277"/>
    <w:rsid w:val="0054360E"/>
    <w:rsid w:val="00543CB8"/>
    <w:rsid w:val="005440D7"/>
    <w:rsid w:val="0054476B"/>
    <w:rsid w:val="0054480E"/>
    <w:rsid w:val="00544A50"/>
    <w:rsid w:val="00544EA5"/>
    <w:rsid w:val="00544F21"/>
    <w:rsid w:val="00545216"/>
    <w:rsid w:val="00545519"/>
    <w:rsid w:val="00545535"/>
    <w:rsid w:val="005455E6"/>
    <w:rsid w:val="0054567A"/>
    <w:rsid w:val="0054587F"/>
    <w:rsid w:val="00545B09"/>
    <w:rsid w:val="00545F2B"/>
    <w:rsid w:val="005460DA"/>
    <w:rsid w:val="00546681"/>
    <w:rsid w:val="005467C7"/>
    <w:rsid w:val="00546BD7"/>
    <w:rsid w:val="00546BF7"/>
    <w:rsid w:val="00547404"/>
    <w:rsid w:val="00547426"/>
    <w:rsid w:val="00547722"/>
    <w:rsid w:val="00547759"/>
    <w:rsid w:val="0054780A"/>
    <w:rsid w:val="005478CF"/>
    <w:rsid w:val="00547C41"/>
    <w:rsid w:val="00547F7C"/>
    <w:rsid w:val="00547F7F"/>
    <w:rsid w:val="005503EA"/>
    <w:rsid w:val="00550661"/>
    <w:rsid w:val="005506C2"/>
    <w:rsid w:val="00550938"/>
    <w:rsid w:val="00550A14"/>
    <w:rsid w:val="00550CC6"/>
    <w:rsid w:val="00550D02"/>
    <w:rsid w:val="00550D81"/>
    <w:rsid w:val="00550EE3"/>
    <w:rsid w:val="0055157A"/>
    <w:rsid w:val="00551A68"/>
    <w:rsid w:val="00551B64"/>
    <w:rsid w:val="00551C20"/>
    <w:rsid w:val="00551E34"/>
    <w:rsid w:val="00551E71"/>
    <w:rsid w:val="0055203E"/>
    <w:rsid w:val="005520CD"/>
    <w:rsid w:val="005526F3"/>
    <w:rsid w:val="00552705"/>
    <w:rsid w:val="00552771"/>
    <w:rsid w:val="005529C3"/>
    <w:rsid w:val="00552C58"/>
    <w:rsid w:val="00552F15"/>
    <w:rsid w:val="005530AA"/>
    <w:rsid w:val="00553112"/>
    <w:rsid w:val="00553F6E"/>
    <w:rsid w:val="0055404E"/>
    <w:rsid w:val="00554DAF"/>
    <w:rsid w:val="00554DE1"/>
    <w:rsid w:val="00554E2A"/>
    <w:rsid w:val="00554ED9"/>
    <w:rsid w:val="005553BC"/>
    <w:rsid w:val="0055580A"/>
    <w:rsid w:val="0055590E"/>
    <w:rsid w:val="005562CE"/>
    <w:rsid w:val="00556982"/>
    <w:rsid w:val="0055713F"/>
    <w:rsid w:val="005572A8"/>
    <w:rsid w:val="00557471"/>
    <w:rsid w:val="0055767E"/>
    <w:rsid w:val="005578E8"/>
    <w:rsid w:val="00557B5E"/>
    <w:rsid w:val="00560445"/>
    <w:rsid w:val="0056053B"/>
    <w:rsid w:val="00561062"/>
    <w:rsid w:val="005613CB"/>
    <w:rsid w:val="005617A7"/>
    <w:rsid w:val="005618A9"/>
    <w:rsid w:val="00561A77"/>
    <w:rsid w:val="00561D22"/>
    <w:rsid w:val="00562058"/>
    <w:rsid w:val="0056281E"/>
    <w:rsid w:val="005629FA"/>
    <w:rsid w:val="00562B80"/>
    <w:rsid w:val="00562C0B"/>
    <w:rsid w:val="00562DAE"/>
    <w:rsid w:val="00564CA8"/>
    <w:rsid w:val="00564D7F"/>
    <w:rsid w:val="00564F0A"/>
    <w:rsid w:val="00564F25"/>
    <w:rsid w:val="0056508C"/>
    <w:rsid w:val="00565246"/>
    <w:rsid w:val="005654A7"/>
    <w:rsid w:val="00565694"/>
    <w:rsid w:val="005657A3"/>
    <w:rsid w:val="00566B48"/>
    <w:rsid w:val="00566CC7"/>
    <w:rsid w:val="00566EEA"/>
    <w:rsid w:val="00566F93"/>
    <w:rsid w:val="00566FB0"/>
    <w:rsid w:val="00567084"/>
    <w:rsid w:val="0056721E"/>
    <w:rsid w:val="005673EC"/>
    <w:rsid w:val="0056745D"/>
    <w:rsid w:val="005674A8"/>
    <w:rsid w:val="005676C1"/>
    <w:rsid w:val="0057039B"/>
    <w:rsid w:val="005707A1"/>
    <w:rsid w:val="00570B66"/>
    <w:rsid w:val="00570FCF"/>
    <w:rsid w:val="00570FD4"/>
    <w:rsid w:val="00570FF5"/>
    <w:rsid w:val="005714AA"/>
    <w:rsid w:val="00571AF4"/>
    <w:rsid w:val="0057208F"/>
    <w:rsid w:val="00572492"/>
    <w:rsid w:val="00572874"/>
    <w:rsid w:val="005728D8"/>
    <w:rsid w:val="00572FCF"/>
    <w:rsid w:val="00572FE7"/>
    <w:rsid w:val="0057308D"/>
    <w:rsid w:val="005731CA"/>
    <w:rsid w:val="00573214"/>
    <w:rsid w:val="0057326E"/>
    <w:rsid w:val="005734EE"/>
    <w:rsid w:val="005736ED"/>
    <w:rsid w:val="005737B5"/>
    <w:rsid w:val="00573C82"/>
    <w:rsid w:val="00573DC9"/>
    <w:rsid w:val="00573F28"/>
    <w:rsid w:val="00574381"/>
    <w:rsid w:val="005748F6"/>
    <w:rsid w:val="00574936"/>
    <w:rsid w:val="00574A51"/>
    <w:rsid w:val="00574B9B"/>
    <w:rsid w:val="00574D29"/>
    <w:rsid w:val="005751AF"/>
    <w:rsid w:val="00575218"/>
    <w:rsid w:val="00575367"/>
    <w:rsid w:val="00575599"/>
    <w:rsid w:val="005757EA"/>
    <w:rsid w:val="00575C05"/>
    <w:rsid w:val="005764CB"/>
    <w:rsid w:val="0057660B"/>
    <w:rsid w:val="005770BD"/>
    <w:rsid w:val="0057727C"/>
    <w:rsid w:val="00577C11"/>
    <w:rsid w:val="0058032D"/>
    <w:rsid w:val="005805A7"/>
    <w:rsid w:val="00580CCE"/>
    <w:rsid w:val="005812B0"/>
    <w:rsid w:val="00581D03"/>
    <w:rsid w:val="00581EA2"/>
    <w:rsid w:val="00581F9D"/>
    <w:rsid w:val="005822A8"/>
    <w:rsid w:val="00582797"/>
    <w:rsid w:val="005828AA"/>
    <w:rsid w:val="00582A14"/>
    <w:rsid w:val="00582B2E"/>
    <w:rsid w:val="00582BA7"/>
    <w:rsid w:val="00582DC2"/>
    <w:rsid w:val="00582F53"/>
    <w:rsid w:val="005830E3"/>
    <w:rsid w:val="00583333"/>
    <w:rsid w:val="0058367B"/>
    <w:rsid w:val="00583887"/>
    <w:rsid w:val="00583C04"/>
    <w:rsid w:val="00583E5D"/>
    <w:rsid w:val="005840A5"/>
    <w:rsid w:val="00584319"/>
    <w:rsid w:val="00584368"/>
    <w:rsid w:val="005843DC"/>
    <w:rsid w:val="00584435"/>
    <w:rsid w:val="00584502"/>
    <w:rsid w:val="005845EA"/>
    <w:rsid w:val="00584661"/>
    <w:rsid w:val="00584B5D"/>
    <w:rsid w:val="00584D31"/>
    <w:rsid w:val="00584F11"/>
    <w:rsid w:val="00584F5C"/>
    <w:rsid w:val="0058510B"/>
    <w:rsid w:val="00585355"/>
    <w:rsid w:val="005853B8"/>
    <w:rsid w:val="00585515"/>
    <w:rsid w:val="0058562C"/>
    <w:rsid w:val="00585E83"/>
    <w:rsid w:val="00586061"/>
    <w:rsid w:val="0058609F"/>
    <w:rsid w:val="00586C94"/>
    <w:rsid w:val="00586CCD"/>
    <w:rsid w:val="00586D01"/>
    <w:rsid w:val="00587771"/>
    <w:rsid w:val="00587CE7"/>
    <w:rsid w:val="0059010B"/>
    <w:rsid w:val="00590124"/>
    <w:rsid w:val="00590663"/>
    <w:rsid w:val="005909AD"/>
    <w:rsid w:val="00590A18"/>
    <w:rsid w:val="00591291"/>
    <w:rsid w:val="00591471"/>
    <w:rsid w:val="00591892"/>
    <w:rsid w:val="00591FCD"/>
    <w:rsid w:val="0059289F"/>
    <w:rsid w:val="00592AA9"/>
    <w:rsid w:val="00592E07"/>
    <w:rsid w:val="00593125"/>
    <w:rsid w:val="005935C5"/>
    <w:rsid w:val="00593A9F"/>
    <w:rsid w:val="00593AA2"/>
    <w:rsid w:val="00593B62"/>
    <w:rsid w:val="0059412A"/>
    <w:rsid w:val="005946CE"/>
    <w:rsid w:val="0059487B"/>
    <w:rsid w:val="00594D21"/>
    <w:rsid w:val="0059537D"/>
    <w:rsid w:val="005956E1"/>
    <w:rsid w:val="005957C2"/>
    <w:rsid w:val="0059587E"/>
    <w:rsid w:val="00595AFB"/>
    <w:rsid w:val="00595B11"/>
    <w:rsid w:val="005969C6"/>
    <w:rsid w:val="00596ACE"/>
    <w:rsid w:val="00596B7A"/>
    <w:rsid w:val="0059705F"/>
    <w:rsid w:val="00597165"/>
    <w:rsid w:val="005975F0"/>
    <w:rsid w:val="005978F3"/>
    <w:rsid w:val="005A049F"/>
    <w:rsid w:val="005A091B"/>
    <w:rsid w:val="005A0D70"/>
    <w:rsid w:val="005A1339"/>
    <w:rsid w:val="005A2223"/>
    <w:rsid w:val="005A22A9"/>
    <w:rsid w:val="005A28B3"/>
    <w:rsid w:val="005A28F3"/>
    <w:rsid w:val="005A2F1A"/>
    <w:rsid w:val="005A3099"/>
    <w:rsid w:val="005A3142"/>
    <w:rsid w:val="005A3215"/>
    <w:rsid w:val="005A32C1"/>
    <w:rsid w:val="005A33C8"/>
    <w:rsid w:val="005A39A9"/>
    <w:rsid w:val="005A3AB6"/>
    <w:rsid w:val="005A3B05"/>
    <w:rsid w:val="005A3DBC"/>
    <w:rsid w:val="005A4077"/>
    <w:rsid w:val="005A451C"/>
    <w:rsid w:val="005A487A"/>
    <w:rsid w:val="005A4B77"/>
    <w:rsid w:val="005A4C1C"/>
    <w:rsid w:val="005A4CB0"/>
    <w:rsid w:val="005A4E64"/>
    <w:rsid w:val="005A5065"/>
    <w:rsid w:val="005A527E"/>
    <w:rsid w:val="005A56A7"/>
    <w:rsid w:val="005A574D"/>
    <w:rsid w:val="005A58F6"/>
    <w:rsid w:val="005A5969"/>
    <w:rsid w:val="005A5FBF"/>
    <w:rsid w:val="005A62CC"/>
    <w:rsid w:val="005A631E"/>
    <w:rsid w:val="005A648B"/>
    <w:rsid w:val="005A66DA"/>
    <w:rsid w:val="005A749A"/>
    <w:rsid w:val="005A7659"/>
    <w:rsid w:val="005A77D5"/>
    <w:rsid w:val="005A7C47"/>
    <w:rsid w:val="005A7FFD"/>
    <w:rsid w:val="005B031D"/>
    <w:rsid w:val="005B052B"/>
    <w:rsid w:val="005B0614"/>
    <w:rsid w:val="005B065D"/>
    <w:rsid w:val="005B08F6"/>
    <w:rsid w:val="005B0B1A"/>
    <w:rsid w:val="005B0CAC"/>
    <w:rsid w:val="005B13F9"/>
    <w:rsid w:val="005B1933"/>
    <w:rsid w:val="005B19B9"/>
    <w:rsid w:val="005B1B0E"/>
    <w:rsid w:val="005B229C"/>
    <w:rsid w:val="005B28DC"/>
    <w:rsid w:val="005B29E0"/>
    <w:rsid w:val="005B2C57"/>
    <w:rsid w:val="005B3059"/>
    <w:rsid w:val="005B3437"/>
    <w:rsid w:val="005B34EB"/>
    <w:rsid w:val="005B40DB"/>
    <w:rsid w:val="005B492C"/>
    <w:rsid w:val="005B4A59"/>
    <w:rsid w:val="005B4C9B"/>
    <w:rsid w:val="005B4D93"/>
    <w:rsid w:val="005B4DF5"/>
    <w:rsid w:val="005B4F92"/>
    <w:rsid w:val="005B4FFB"/>
    <w:rsid w:val="005B56AA"/>
    <w:rsid w:val="005B58B5"/>
    <w:rsid w:val="005B5A4D"/>
    <w:rsid w:val="005B607D"/>
    <w:rsid w:val="005B63FA"/>
    <w:rsid w:val="005B69CB"/>
    <w:rsid w:val="005B6CD8"/>
    <w:rsid w:val="005B6EB6"/>
    <w:rsid w:val="005B746F"/>
    <w:rsid w:val="005B78D5"/>
    <w:rsid w:val="005B7937"/>
    <w:rsid w:val="005B7AE2"/>
    <w:rsid w:val="005B7DAE"/>
    <w:rsid w:val="005B7EA5"/>
    <w:rsid w:val="005B7F42"/>
    <w:rsid w:val="005C0242"/>
    <w:rsid w:val="005C0930"/>
    <w:rsid w:val="005C0B72"/>
    <w:rsid w:val="005C0C05"/>
    <w:rsid w:val="005C0CA4"/>
    <w:rsid w:val="005C0E91"/>
    <w:rsid w:val="005C123B"/>
    <w:rsid w:val="005C1645"/>
    <w:rsid w:val="005C1829"/>
    <w:rsid w:val="005C1D68"/>
    <w:rsid w:val="005C22CB"/>
    <w:rsid w:val="005C25CC"/>
    <w:rsid w:val="005C27DF"/>
    <w:rsid w:val="005C286F"/>
    <w:rsid w:val="005C2CFF"/>
    <w:rsid w:val="005C2ECE"/>
    <w:rsid w:val="005C30DE"/>
    <w:rsid w:val="005C336F"/>
    <w:rsid w:val="005C3786"/>
    <w:rsid w:val="005C40DD"/>
    <w:rsid w:val="005C48B7"/>
    <w:rsid w:val="005C56A9"/>
    <w:rsid w:val="005C598E"/>
    <w:rsid w:val="005C5B3E"/>
    <w:rsid w:val="005C5C6F"/>
    <w:rsid w:val="005C5DF3"/>
    <w:rsid w:val="005C5FD2"/>
    <w:rsid w:val="005C66CC"/>
    <w:rsid w:val="005C67D5"/>
    <w:rsid w:val="005C67D9"/>
    <w:rsid w:val="005C67F8"/>
    <w:rsid w:val="005C68EB"/>
    <w:rsid w:val="005C6DB2"/>
    <w:rsid w:val="005C7152"/>
    <w:rsid w:val="005C7570"/>
    <w:rsid w:val="005C7A07"/>
    <w:rsid w:val="005C7AA7"/>
    <w:rsid w:val="005D0115"/>
    <w:rsid w:val="005D062A"/>
    <w:rsid w:val="005D065C"/>
    <w:rsid w:val="005D0A21"/>
    <w:rsid w:val="005D0BFC"/>
    <w:rsid w:val="005D0CF5"/>
    <w:rsid w:val="005D0E45"/>
    <w:rsid w:val="005D12A3"/>
    <w:rsid w:val="005D1518"/>
    <w:rsid w:val="005D19F9"/>
    <w:rsid w:val="005D2158"/>
    <w:rsid w:val="005D2595"/>
    <w:rsid w:val="005D26BB"/>
    <w:rsid w:val="005D2AC9"/>
    <w:rsid w:val="005D2B14"/>
    <w:rsid w:val="005D2FB7"/>
    <w:rsid w:val="005D390A"/>
    <w:rsid w:val="005D396B"/>
    <w:rsid w:val="005D3973"/>
    <w:rsid w:val="005D3A2C"/>
    <w:rsid w:val="005D3BCC"/>
    <w:rsid w:val="005D422E"/>
    <w:rsid w:val="005D4461"/>
    <w:rsid w:val="005D4A3F"/>
    <w:rsid w:val="005D4CA1"/>
    <w:rsid w:val="005D4E38"/>
    <w:rsid w:val="005D4EDB"/>
    <w:rsid w:val="005D4F7D"/>
    <w:rsid w:val="005D504E"/>
    <w:rsid w:val="005D55CB"/>
    <w:rsid w:val="005D5C70"/>
    <w:rsid w:val="005D5E09"/>
    <w:rsid w:val="005D65E0"/>
    <w:rsid w:val="005D6E3B"/>
    <w:rsid w:val="005D6EB7"/>
    <w:rsid w:val="005D72AB"/>
    <w:rsid w:val="005D7435"/>
    <w:rsid w:val="005D74E2"/>
    <w:rsid w:val="005D7539"/>
    <w:rsid w:val="005D7624"/>
    <w:rsid w:val="005E0199"/>
    <w:rsid w:val="005E047F"/>
    <w:rsid w:val="005E0828"/>
    <w:rsid w:val="005E0D95"/>
    <w:rsid w:val="005E0E9C"/>
    <w:rsid w:val="005E0EE8"/>
    <w:rsid w:val="005E0F11"/>
    <w:rsid w:val="005E1118"/>
    <w:rsid w:val="005E1119"/>
    <w:rsid w:val="005E1361"/>
    <w:rsid w:val="005E13DF"/>
    <w:rsid w:val="005E1C1F"/>
    <w:rsid w:val="005E1D77"/>
    <w:rsid w:val="005E1D81"/>
    <w:rsid w:val="005E282D"/>
    <w:rsid w:val="005E2BA8"/>
    <w:rsid w:val="005E2C57"/>
    <w:rsid w:val="005E2D99"/>
    <w:rsid w:val="005E2DD6"/>
    <w:rsid w:val="005E2FD7"/>
    <w:rsid w:val="005E3947"/>
    <w:rsid w:val="005E3B69"/>
    <w:rsid w:val="005E40BF"/>
    <w:rsid w:val="005E40D9"/>
    <w:rsid w:val="005E4422"/>
    <w:rsid w:val="005E4713"/>
    <w:rsid w:val="005E47F8"/>
    <w:rsid w:val="005E49A6"/>
    <w:rsid w:val="005E4A05"/>
    <w:rsid w:val="005E4B67"/>
    <w:rsid w:val="005E511A"/>
    <w:rsid w:val="005E575B"/>
    <w:rsid w:val="005E5B21"/>
    <w:rsid w:val="005E6175"/>
    <w:rsid w:val="005E6315"/>
    <w:rsid w:val="005E6818"/>
    <w:rsid w:val="005E6E07"/>
    <w:rsid w:val="005E6E1E"/>
    <w:rsid w:val="005E6E66"/>
    <w:rsid w:val="005E7991"/>
    <w:rsid w:val="005E7AEA"/>
    <w:rsid w:val="005E7B0C"/>
    <w:rsid w:val="005E7CC5"/>
    <w:rsid w:val="005E7DB1"/>
    <w:rsid w:val="005F0191"/>
    <w:rsid w:val="005F02C6"/>
    <w:rsid w:val="005F0892"/>
    <w:rsid w:val="005F0E83"/>
    <w:rsid w:val="005F18CA"/>
    <w:rsid w:val="005F1AC1"/>
    <w:rsid w:val="005F1CE8"/>
    <w:rsid w:val="005F1ECA"/>
    <w:rsid w:val="005F1F26"/>
    <w:rsid w:val="005F2432"/>
    <w:rsid w:val="005F2844"/>
    <w:rsid w:val="005F28DA"/>
    <w:rsid w:val="005F2F80"/>
    <w:rsid w:val="005F324C"/>
    <w:rsid w:val="005F361F"/>
    <w:rsid w:val="005F38DB"/>
    <w:rsid w:val="005F38EA"/>
    <w:rsid w:val="005F4396"/>
    <w:rsid w:val="005F4C0F"/>
    <w:rsid w:val="005F4DE4"/>
    <w:rsid w:val="005F4F1F"/>
    <w:rsid w:val="005F50B8"/>
    <w:rsid w:val="005F5469"/>
    <w:rsid w:val="005F5CB4"/>
    <w:rsid w:val="005F620A"/>
    <w:rsid w:val="005F6E0D"/>
    <w:rsid w:val="005F6F75"/>
    <w:rsid w:val="005F72DC"/>
    <w:rsid w:val="005F7311"/>
    <w:rsid w:val="005F74D5"/>
    <w:rsid w:val="005F75F6"/>
    <w:rsid w:val="005F767D"/>
    <w:rsid w:val="005F7F1B"/>
    <w:rsid w:val="00600644"/>
    <w:rsid w:val="00600765"/>
    <w:rsid w:val="006008AD"/>
    <w:rsid w:val="00600D75"/>
    <w:rsid w:val="00600DD6"/>
    <w:rsid w:val="00600EBE"/>
    <w:rsid w:val="006014CB"/>
    <w:rsid w:val="00601607"/>
    <w:rsid w:val="0060165C"/>
    <w:rsid w:val="006017E0"/>
    <w:rsid w:val="00602296"/>
    <w:rsid w:val="006022A3"/>
    <w:rsid w:val="00602919"/>
    <w:rsid w:val="00602B10"/>
    <w:rsid w:val="00602CCB"/>
    <w:rsid w:val="00602D15"/>
    <w:rsid w:val="00603087"/>
    <w:rsid w:val="006035BA"/>
    <w:rsid w:val="00603BD1"/>
    <w:rsid w:val="00603D1A"/>
    <w:rsid w:val="00603E11"/>
    <w:rsid w:val="00603FC4"/>
    <w:rsid w:val="006043D8"/>
    <w:rsid w:val="006045E7"/>
    <w:rsid w:val="00604D76"/>
    <w:rsid w:val="00604E97"/>
    <w:rsid w:val="00605401"/>
    <w:rsid w:val="006055B2"/>
    <w:rsid w:val="00605988"/>
    <w:rsid w:val="00605DC9"/>
    <w:rsid w:val="00606631"/>
    <w:rsid w:val="006068DA"/>
    <w:rsid w:val="006068FD"/>
    <w:rsid w:val="006070F8"/>
    <w:rsid w:val="00607322"/>
    <w:rsid w:val="0060761A"/>
    <w:rsid w:val="00607786"/>
    <w:rsid w:val="00607C39"/>
    <w:rsid w:val="00610206"/>
    <w:rsid w:val="00610441"/>
    <w:rsid w:val="00610CE7"/>
    <w:rsid w:val="00611495"/>
    <w:rsid w:val="00612D63"/>
    <w:rsid w:val="0061304C"/>
    <w:rsid w:val="006130B0"/>
    <w:rsid w:val="00613C72"/>
    <w:rsid w:val="00613D96"/>
    <w:rsid w:val="00614272"/>
    <w:rsid w:val="006145C0"/>
    <w:rsid w:val="00614A68"/>
    <w:rsid w:val="00614C8F"/>
    <w:rsid w:val="0061530A"/>
    <w:rsid w:val="006153C3"/>
    <w:rsid w:val="006155FD"/>
    <w:rsid w:val="00615F09"/>
    <w:rsid w:val="0061606F"/>
    <w:rsid w:val="00616F56"/>
    <w:rsid w:val="00617764"/>
    <w:rsid w:val="00617815"/>
    <w:rsid w:val="006179E3"/>
    <w:rsid w:val="00617CEF"/>
    <w:rsid w:val="00617DE4"/>
    <w:rsid w:val="00620157"/>
    <w:rsid w:val="0062037F"/>
    <w:rsid w:val="00620A7A"/>
    <w:rsid w:val="00620BEB"/>
    <w:rsid w:val="00621141"/>
    <w:rsid w:val="00621234"/>
    <w:rsid w:val="006216A1"/>
    <w:rsid w:val="00621A28"/>
    <w:rsid w:val="00621FED"/>
    <w:rsid w:val="00622713"/>
    <w:rsid w:val="00622E88"/>
    <w:rsid w:val="00623218"/>
    <w:rsid w:val="006232CD"/>
    <w:rsid w:val="006233A5"/>
    <w:rsid w:val="006239DE"/>
    <w:rsid w:val="00623B77"/>
    <w:rsid w:val="00624721"/>
    <w:rsid w:val="00624D4E"/>
    <w:rsid w:val="00624EAA"/>
    <w:rsid w:val="006250B6"/>
    <w:rsid w:val="006251CF"/>
    <w:rsid w:val="00625269"/>
    <w:rsid w:val="00625389"/>
    <w:rsid w:val="00625869"/>
    <w:rsid w:val="00625A29"/>
    <w:rsid w:val="00625A83"/>
    <w:rsid w:val="0062619A"/>
    <w:rsid w:val="006261DB"/>
    <w:rsid w:val="006261E8"/>
    <w:rsid w:val="0062646F"/>
    <w:rsid w:val="0062699C"/>
    <w:rsid w:val="00627B77"/>
    <w:rsid w:val="00630037"/>
    <w:rsid w:val="0063005A"/>
    <w:rsid w:val="00630078"/>
    <w:rsid w:val="00630176"/>
    <w:rsid w:val="0063080A"/>
    <w:rsid w:val="0063128F"/>
    <w:rsid w:val="00631CB9"/>
    <w:rsid w:val="00631FAC"/>
    <w:rsid w:val="00632437"/>
    <w:rsid w:val="00632617"/>
    <w:rsid w:val="00632AE8"/>
    <w:rsid w:val="00632CF1"/>
    <w:rsid w:val="00633444"/>
    <w:rsid w:val="006339FE"/>
    <w:rsid w:val="00633CF8"/>
    <w:rsid w:val="00633E59"/>
    <w:rsid w:val="0063408F"/>
    <w:rsid w:val="0063413A"/>
    <w:rsid w:val="00634363"/>
    <w:rsid w:val="00635636"/>
    <w:rsid w:val="00635D42"/>
    <w:rsid w:val="00635D77"/>
    <w:rsid w:val="00635D94"/>
    <w:rsid w:val="00635DE1"/>
    <w:rsid w:val="00635FC2"/>
    <w:rsid w:val="0063629E"/>
    <w:rsid w:val="0063635B"/>
    <w:rsid w:val="006365BB"/>
    <w:rsid w:val="006366B2"/>
    <w:rsid w:val="006367A6"/>
    <w:rsid w:val="00636FDB"/>
    <w:rsid w:val="00637220"/>
    <w:rsid w:val="00637390"/>
    <w:rsid w:val="00637453"/>
    <w:rsid w:val="00637459"/>
    <w:rsid w:val="0063756F"/>
    <w:rsid w:val="0063762B"/>
    <w:rsid w:val="006378C6"/>
    <w:rsid w:val="00637CD2"/>
    <w:rsid w:val="00637E0A"/>
    <w:rsid w:val="00640177"/>
    <w:rsid w:val="006402CB"/>
    <w:rsid w:val="00640801"/>
    <w:rsid w:val="00641480"/>
    <w:rsid w:val="00641826"/>
    <w:rsid w:val="006419F3"/>
    <w:rsid w:val="00641AEB"/>
    <w:rsid w:val="00641B82"/>
    <w:rsid w:val="0064234D"/>
    <w:rsid w:val="006425F9"/>
    <w:rsid w:val="006427CB"/>
    <w:rsid w:val="00642B70"/>
    <w:rsid w:val="00642D03"/>
    <w:rsid w:val="0064336B"/>
    <w:rsid w:val="00643A7D"/>
    <w:rsid w:val="00643BB2"/>
    <w:rsid w:val="00643CCE"/>
    <w:rsid w:val="00644339"/>
    <w:rsid w:val="006445BA"/>
    <w:rsid w:val="006447B9"/>
    <w:rsid w:val="0064488C"/>
    <w:rsid w:val="006448EF"/>
    <w:rsid w:val="006451F5"/>
    <w:rsid w:val="00645AF7"/>
    <w:rsid w:val="00646506"/>
    <w:rsid w:val="0064681B"/>
    <w:rsid w:val="006469D8"/>
    <w:rsid w:val="00646CE0"/>
    <w:rsid w:val="00646D73"/>
    <w:rsid w:val="00647156"/>
    <w:rsid w:val="00647381"/>
    <w:rsid w:val="00647391"/>
    <w:rsid w:val="00647EDF"/>
    <w:rsid w:val="006502D1"/>
    <w:rsid w:val="00650522"/>
    <w:rsid w:val="00650AEF"/>
    <w:rsid w:val="0065132D"/>
    <w:rsid w:val="006519A2"/>
    <w:rsid w:val="00651A06"/>
    <w:rsid w:val="00652350"/>
    <w:rsid w:val="00652EEC"/>
    <w:rsid w:val="0065346C"/>
    <w:rsid w:val="006535AB"/>
    <w:rsid w:val="0065364D"/>
    <w:rsid w:val="00653C9A"/>
    <w:rsid w:val="00653C9C"/>
    <w:rsid w:val="00653D67"/>
    <w:rsid w:val="00653DDD"/>
    <w:rsid w:val="00653DEC"/>
    <w:rsid w:val="00653F16"/>
    <w:rsid w:val="006540BD"/>
    <w:rsid w:val="00654392"/>
    <w:rsid w:val="00654563"/>
    <w:rsid w:val="0065461D"/>
    <w:rsid w:val="00654820"/>
    <w:rsid w:val="0065497B"/>
    <w:rsid w:val="00654C63"/>
    <w:rsid w:val="00654F7B"/>
    <w:rsid w:val="00655EE7"/>
    <w:rsid w:val="00656722"/>
    <w:rsid w:val="00656889"/>
    <w:rsid w:val="00656A48"/>
    <w:rsid w:val="00656EB7"/>
    <w:rsid w:val="00656F9A"/>
    <w:rsid w:val="0065738A"/>
    <w:rsid w:val="006575DC"/>
    <w:rsid w:val="0065799F"/>
    <w:rsid w:val="00657B57"/>
    <w:rsid w:val="00657E3E"/>
    <w:rsid w:val="00657FAD"/>
    <w:rsid w:val="006604EB"/>
    <w:rsid w:val="006604FC"/>
    <w:rsid w:val="0066052E"/>
    <w:rsid w:val="0066060F"/>
    <w:rsid w:val="00660A6D"/>
    <w:rsid w:val="00660C7F"/>
    <w:rsid w:val="00660E8B"/>
    <w:rsid w:val="00661488"/>
    <w:rsid w:val="00661597"/>
    <w:rsid w:val="006615D2"/>
    <w:rsid w:val="0066160A"/>
    <w:rsid w:val="00661D12"/>
    <w:rsid w:val="0066237A"/>
    <w:rsid w:val="00662419"/>
    <w:rsid w:val="00662819"/>
    <w:rsid w:val="00662B2F"/>
    <w:rsid w:val="006632E9"/>
    <w:rsid w:val="0066399D"/>
    <w:rsid w:val="00663FFC"/>
    <w:rsid w:val="00664141"/>
    <w:rsid w:val="00664BA1"/>
    <w:rsid w:val="00664C94"/>
    <w:rsid w:val="006652D7"/>
    <w:rsid w:val="006657F2"/>
    <w:rsid w:val="00665B15"/>
    <w:rsid w:val="00665C2D"/>
    <w:rsid w:val="00665E67"/>
    <w:rsid w:val="0066664B"/>
    <w:rsid w:val="00666ADC"/>
    <w:rsid w:val="00666D71"/>
    <w:rsid w:val="00666E2C"/>
    <w:rsid w:val="0066704B"/>
    <w:rsid w:val="0066735A"/>
    <w:rsid w:val="006673D8"/>
    <w:rsid w:val="006673DC"/>
    <w:rsid w:val="00667F4F"/>
    <w:rsid w:val="0067065C"/>
    <w:rsid w:val="00670708"/>
    <w:rsid w:val="00670EC7"/>
    <w:rsid w:val="006715F3"/>
    <w:rsid w:val="00671644"/>
    <w:rsid w:val="00671830"/>
    <w:rsid w:val="00671A87"/>
    <w:rsid w:val="00671A9F"/>
    <w:rsid w:val="00672229"/>
    <w:rsid w:val="006724A4"/>
    <w:rsid w:val="00672819"/>
    <w:rsid w:val="00672A5B"/>
    <w:rsid w:val="006734A8"/>
    <w:rsid w:val="00673552"/>
    <w:rsid w:val="006736A8"/>
    <w:rsid w:val="00673F0C"/>
    <w:rsid w:val="006743C0"/>
    <w:rsid w:val="00674BE5"/>
    <w:rsid w:val="00675630"/>
    <w:rsid w:val="00675A37"/>
    <w:rsid w:val="00675A3B"/>
    <w:rsid w:val="00675B45"/>
    <w:rsid w:val="00675EE0"/>
    <w:rsid w:val="00676678"/>
    <w:rsid w:val="006767B4"/>
    <w:rsid w:val="006769E9"/>
    <w:rsid w:val="00676C8B"/>
    <w:rsid w:val="00676C9A"/>
    <w:rsid w:val="00676D10"/>
    <w:rsid w:val="00677DA8"/>
    <w:rsid w:val="00677DD6"/>
    <w:rsid w:val="00677FDB"/>
    <w:rsid w:val="00680074"/>
    <w:rsid w:val="00680581"/>
    <w:rsid w:val="0068070F"/>
    <w:rsid w:val="00680714"/>
    <w:rsid w:val="0068083C"/>
    <w:rsid w:val="00681307"/>
    <w:rsid w:val="00681320"/>
    <w:rsid w:val="00681405"/>
    <w:rsid w:val="00681C7E"/>
    <w:rsid w:val="00681DC7"/>
    <w:rsid w:val="00681FDC"/>
    <w:rsid w:val="006820D8"/>
    <w:rsid w:val="00682298"/>
    <w:rsid w:val="0068273F"/>
    <w:rsid w:val="00683152"/>
    <w:rsid w:val="006836EA"/>
    <w:rsid w:val="00683764"/>
    <w:rsid w:val="00683C79"/>
    <w:rsid w:val="00683EFB"/>
    <w:rsid w:val="006841E2"/>
    <w:rsid w:val="00684A15"/>
    <w:rsid w:val="00684EAB"/>
    <w:rsid w:val="00684F48"/>
    <w:rsid w:val="00685750"/>
    <w:rsid w:val="00685F56"/>
    <w:rsid w:val="0068603F"/>
    <w:rsid w:val="00687211"/>
    <w:rsid w:val="006877C9"/>
    <w:rsid w:val="00687B08"/>
    <w:rsid w:val="00687D0A"/>
    <w:rsid w:val="00687F59"/>
    <w:rsid w:val="00690A54"/>
    <w:rsid w:val="00690E08"/>
    <w:rsid w:val="00690EB5"/>
    <w:rsid w:val="00690EF1"/>
    <w:rsid w:val="0069135D"/>
    <w:rsid w:val="006913DD"/>
    <w:rsid w:val="00691498"/>
    <w:rsid w:val="00691639"/>
    <w:rsid w:val="006916C2"/>
    <w:rsid w:val="00691C24"/>
    <w:rsid w:val="00692009"/>
    <w:rsid w:val="0069210C"/>
    <w:rsid w:val="006928E2"/>
    <w:rsid w:val="00692CB6"/>
    <w:rsid w:val="00692EDF"/>
    <w:rsid w:val="00693289"/>
    <w:rsid w:val="00693726"/>
    <w:rsid w:val="00693DAB"/>
    <w:rsid w:val="00693E6A"/>
    <w:rsid w:val="00694447"/>
    <w:rsid w:val="00694883"/>
    <w:rsid w:val="0069493D"/>
    <w:rsid w:val="00694C68"/>
    <w:rsid w:val="00694F42"/>
    <w:rsid w:val="0069505A"/>
    <w:rsid w:val="00695366"/>
    <w:rsid w:val="0069541C"/>
    <w:rsid w:val="006961C1"/>
    <w:rsid w:val="006965DF"/>
    <w:rsid w:val="00696632"/>
    <w:rsid w:val="00696798"/>
    <w:rsid w:val="00696F9D"/>
    <w:rsid w:val="006973B3"/>
    <w:rsid w:val="006977BC"/>
    <w:rsid w:val="00697CE3"/>
    <w:rsid w:val="006A0008"/>
    <w:rsid w:val="006A001D"/>
    <w:rsid w:val="006A02EE"/>
    <w:rsid w:val="006A0B88"/>
    <w:rsid w:val="006A10EF"/>
    <w:rsid w:val="006A1414"/>
    <w:rsid w:val="006A1D20"/>
    <w:rsid w:val="006A207B"/>
    <w:rsid w:val="006A25C1"/>
    <w:rsid w:val="006A25F9"/>
    <w:rsid w:val="006A26A8"/>
    <w:rsid w:val="006A2AE7"/>
    <w:rsid w:val="006A2B97"/>
    <w:rsid w:val="006A2CBB"/>
    <w:rsid w:val="006A2F51"/>
    <w:rsid w:val="006A30E0"/>
    <w:rsid w:val="006A31D4"/>
    <w:rsid w:val="006A329D"/>
    <w:rsid w:val="006A372A"/>
    <w:rsid w:val="006A379B"/>
    <w:rsid w:val="006A3B40"/>
    <w:rsid w:val="006A3F17"/>
    <w:rsid w:val="006A409B"/>
    <w:rsid w:val="006A4308"/>
    <w:rsid w:val="006A49FE"/>
    <w:rsid w:val="006A53D2"/>
    <w:rsid w:val="006A547A"/>
    <w:rsid w:val="006A5518"/>
    <w:rsid w:val="006A5524"/>
    <w:rsid w:val="006A5A2D"/>
    <w:rsid w:val="006A5EA5"/>
    <w:rsid w:val="006A64BA"/>
    <w:rsid w:val="006A689F"/>
    <w:rsid w:val="006A6AAA"/>
    <w:rsid w:val="006A6C0B"/>
    <w:rsid w:val="006A7023"/>
    <w:rsid w:val="006A7030"/>
    <w:rsid w:val="006A73C4"/>
    <w:rsid w:val="006A7862"/>
    <w:rsid w:val="006A7DFE"/>
    <w:rsid w:val="006A7F81"/>
    <w:rsid w:val="006A7FC3"/>
    <w:rsid w:val="006B022C"/>
    <w:rsid w:val="006B0C5A"/>
    <w:rsid w:val="006B0E18"/>
    <w:rsid w:val="006B1161"/>
    <w:rsid w:val="006B12AB"/>
    <w:rsid w:val="006B15C4"/>
    <w:rsid w:val="006B1A5A"/>
    <w:rsid w:val="006B1AC9"/>
    <w:rsid w:val="006B203D"/>
    <w:rsid w:val="006B26B4"/>
    <w:rsid w:val="006B2790"/>
    <w:rsid w:val="006B3066"/>
    <w:rsid w:val="006B34AD"/>
    <w:rsid w:val="006B3572"/>
    <w:rsid w:val="006B38D0"/>
    <w:rsid w:val="006B3CB7"/>
    <w:rsid w:val="006B423B"/>
    <w:rsid w:val="006B472B"/>
    <w:rsid w:val="006B4D1A"/>
    <w:rsid w:val="006B4EE4"/>
    <w:rsid w:val="006B5009"/>
    <w:rsid w:val="006B51E2"/>
    <w:rsid w:val="006B526D"/>
    <w:rsid w:val="006B52C6"/>
    <w:rsid w:val="006B568C"/>
    <w:rsid w:val="006B5C60"/>
    <w:rsid w:val="006B60AF"/>
    <w:rsid w:val="006B6897"/>
    <w:rsid w:val="006B6946"/>
    <w:rsid w:val="006B698E"/>
    <w:rsid w:val="006B6B21"/>
    <w:rsid w:val="006B6CA5"/>
    <w:rsid w:val="006B6DEE"/>
    <w:rsid w:val="006B71F4"/>
    <w:rsid w:val="006B7373"/>
    <w:rsid w:val="006B74BE"/>
    <w:rsid w:val="006B7825"/>
    <w:rsid w:val="006B782D"/>
    <w:rsid w:val="006B789A"/>
    <w:rsid w:val="006B7A8E"/>
    <w:rsid w:val="006B7C12"/>
    <w:rsid w:val="006B7DE1"/>
    <w:rsid w:val="006C0086"/>
    <w:rsid w:val="006C030E"/>
    <w:rsid w:val="006C0870"/>
    <w:rsid w:val="006C0C8A"/>
    <w:rsid w:val="006C1252"/>
    <w:rsid w:val="006C12EF"/>
    <w:rsid w:val="006C1A8E"/>
    <w:rsid w:val="006C264B"/>
    <w:rsid w:val="006C27DB"/>
    <w:rsid w:val="006C2B89"/>
    <w:rsid w:val="006C2F68"/>
    <w:rsid w:val="006C37D7"/>
    <w:rsid w:val="006C3831"/>
    <w:rsid w:val="006C3D10"/>
    <w:rsid w:val="006C4398"/>
    <w:rsid w:val="006C44E7"/>
    <w:rsid w:val="006C4CC5"/>
    <w:rsid w:val="006C513C"/>
    <w:rsid w:val="006C525B"/>
    <w:rsid w:val="006C55B4"/>
    <w:rsid w:val="006C58FF"/>
    <w:rsid w:val="006C5994"/>
    <w:rsid w:val="006C5CBC"/>
    <w:rsid w:val="006C5DBD"/>
    <w:rsid w:val="006C5E8B"/>
    <w:rsid w:val="006C5FAC"/>
    <w:rsid w:val="006C5FD8"/>
    <w:rsid w:val="006C61DA"/>
    <w:rsid w:val="006C61E0"/>
    <w:rsid w:val="006C63D2"/>
    <w:rsid w:val="006C6400"/>
    <w:rsid w:val="006C65D2"/>
    <w:rsid w:val="006C67E9"/>
    <w:rsid w:val="006C6AB9"/>
    <w:rsid w:val="006C6CD4"/>
    <w:rsid w:val="006C6DF0"/>
    <w:rsid w:val="006C6E13"/>
    <w:rsid w:val="006C6FAC"/>
    <w:rsid w:val="006C76A8"/>
    <w:rsid w:val="006C77D2"/>
    <w:rsid w:val="006C7A16"/>
    <w:rsid w:val="006C7C88"/>
    <w:rsid w:val="006C7D8D"/>
    <w:rsid w:val="006D07D6"/>
    <w:rsid w:val="006D0CA4"/>
    <w:rsid w:val="006D0DC0"/>
    <w:rsid w:val="006D1291"/>
    <w:rsid w:val="006D1577"/>
    <w:rsid w:val="006D189F"/>
    <w:rsid w:val="006D1A33"/>
    <w:rsid w:val="006D1DED"/>
    <w:rsid w:val="006D222C"/>
    <w:rsid w:val="006D232D"/>
    <w:rsid w:val="006D24D0"/>
    <w:rsid w:val="006D279B"/>
    <w:rsid w:val="006D2F89"/>
    <w:rsid w:val="006D33B2"/>
    <w:rsid w:val="006D359C"/>
    <w:rsid w:val="006D36E0"/>
    <w:rsid w:val="006D388F"/>
    <w:rsid w:val="006D3A4F"/>
    <w:rsid w:val="006D3AC6"/>
    <w:rsid w:val="006D3F6B"/>
    <w:rsid w:val="006D402C"/>
    <w:rsid w:val="006D4099"/>
    <w:rsid w:val="006D426E"/>
    <w:rsid w:val="006D427C"/>
    <w:rsid w:val="006D43BE"/>
    <w:rsid w:val="006D44F8"/>
    <w:rsid w:val="006D52B4"/>
    <w:rsid w:val="006D556A"/>
    <w:rsid w:val="006D5D4B"/>
    <w:rsid w:val="006D5DB9"/>
    <w:rsid w:val="006D5F32"/>
    <w:rsid w:val="006D6075"/>
    <w:rsid w:val="006D60E5"/>
    <w:rsid w:val="006D64F4"/>
    <w:rsid w:val="006D65F1"/>
    <w:rsid w:val="006D6712"/>
    <w:rsid w:val="006D6A85"/>
    <w:rsid w:val="006D6DDC"/>
    <w:rsid w:val="006D79CE"/>
    <w:rsid w:val="006E054B"/>
    <w:rsid w:val="006E055C"/>
    <w:rsid w:val="006E06C3"/>
    <w:rsid w:val="006E0717"/>
    <w:rsid w:val="006E0A75"/>
    <w:rsid w:val="006E13A3"/>
    <w:rsid w:val="006E13F3"/>
    <w:rsid w:val="006E141E"/>
    <w:rsid w:val="006E1450"/>
    <w:rsid w:val="006E15E6"/>
    <w:rsid w:val="006E1659"/>
    <w:rsid w:val="006E1677"/>
    <w:rsid w:val="006E168A"/>
    <w:rsid w:val="006E1888"/>
    <w:rsid w:val="006E1BC9"/>
    <w:rsid w:val="006E1EFB"/>
    <w:rsid w:val="006E1F7A"/>
    <w:rsid w:val="006E240B"/>
    <w:rsid w:val="006E2869"/>
    <w:rsid w:val="006E2908"/>
    <w:rsid w:val="006E2A5F"/>
    <w:rsid w:val="006E2C99"/>
    <w:rsid w:val="006E33C4"/>
    <w:rsid w:val="006E37CC"/>
    <w:rsid w:val="006E46CC"/>
    <w:rsid w:val="006E46CF"/>
    <w:rsid w:val="006E4844"/>
    <w:rsid w:val="006E4886"/>
    <w:rsid w:val="006E4A50"/>
    <w:rsid w:val="006E4BC9"/>
    <w:rsid w:val="006E51CB"/>
    <w:rsid w:val="006E5292"/>
    <w:rsid w:val="006E56F0"/>
    <w:rsid w:val="006E598A"/>
    <w:rsid w:val="006E59C8"/>
    <w:rsid w:val="006E5C63"/>
    <w:rsid w:val="006E610D"/>
    <w:rsid w:val="006E6184"/>
    <w:rsid w:val="006E6329"/>
    <w:rsid w:val="006E63A7"/>
    <w:rsid w:val="006E6948"/>
    <w:rsid w:val="006E6A71"/>
    <w:rsid w:val="006E6AEE"/>
    <w:rsid w:val="006E6B19"/>
    <w:rsid w:val="006E6E17"/>
    <w:rsid w:val="006E6EFB"/>
    <w:rsid w:val="006E7000"/>
    <w:rsid w:val="006E73AD"/>
    <w:rsid w:val="006E7637"/>
    <w:rsid w:val="006E7A41"/>
    <w:rsid w:val="006E7BD3"/>
    <w:rsid w:val="006F0145"/>
    <w:rsid w:val="006F0880"/>
    <w:rsid w:val="006F0D6D"/>
    <w:rsid w:val="006F1266"/>
    <w:rsid w:val="006F14A8"/>
    <w:rsid w:val="006F1A65"/>
    <w:rsid w:val="006F1DE5"/>
    <w:rsid w:val="006F1F41"/>
    <w:rsid w:val="006F1FB2"/>
    <w:rsid w:val="006F2945"/>
    <w:rsid w:val="006F2DD9"/>
    <w:rsid w:val="006F38AC"/>
    <w:rsid w:val="006F3993"/>
    <w:rsid w:val="006F44B1"/>
    <w:rsid w:val="006F46AE"/>
    <w:rsid w:val="006F47D8"/>
    <w:rsid w:val="006F4934"/>
    <w:rsid w:val="006F4D97"/>
    <w:rsid w:val="006F5305"/>
    <w:rsid w:val="006F56DD"/>
    <w:rsid w:val="006F5C62"/>
    <w:rsid w:val="006F61C8"/>
    <w:rsid w:val="006F63C8"/>
    <w:rsid w:val="006F65BB"/>
    <w:rsid w:val="006F6691"/>
    <w:rsid w:val="006F6FEF"/>
    <w:rsid w:val="006F71B4"/>
    <w:rsid w:val="006F7492"/>
    <w:rsid w:val="006F7A47"/>
    <w:rsid w:val="006F7A49"/>
    <w:rsid w:val="006F7B8D"/>
    <w:rsid w:val="00700161"/>
    <w:rsid w:val="0070048E"/>
    <w:rsid w:val="007008E6"/>
    <w:rsid w:val="007008F0"/>
    <w:rsid w:val="007008F7"/>
    <w:rsid w:val="007012A8"/>
    <w:rsid w:val="00701300"/>
    <w:rsid w:val="00701418"/>
    <w:rsid w:val="0070159D"/>
    <w:rsid w:val="007015E2"/>
    <w:rsid w:val="00701669"/>
    <w:rsid w:val="00701E06"/>
    <w:rsid w:val="00701FC4"/>
    <w:rsid w:val="00702061"/>
    <w:rsid w:val="0070272C"/>
    <w:rsid w:val="007027EF"/>
    <w:rsid w:val="00702A0E"/>
    <w:rsid w:val="00702B97"/>
    <w:rsid w:val="00702D89"/>
    <w:rsid w:val="0070310C"/>
    <w:rsid w:val="0070336B"/>
    <w:rsid w:val="007037D6"/>
    <w:rsid w:val="007039CD"/>
    <w:rsid w:val="00703BF9"/>
    <w:rsid w:val="00703D3E"/>
    <w:rsid w:val="00703FD2"/>
    <w:rsid w:val="00704197"/>
    <w:rsid w:val="007041F7"/>
    <w:rsid w:val="00704C4E"/>
    <w:rsid w:val="00704D7B"/>
    <w:rsid w:val="007058A2"/>
    <w:rsid w:val="00705A41"/>
    <w:rsid w:val="00705BDC"/>
    <w:rsid w:val="00705DDA"/>
    <w:rsid w:val="00706251"/>
    <w:rsid w:val="00706505"/>
    <w:rsid w:val="00706BCC"/>
    <w:rsid w:val="00707429"/>
    <w:rsid w:val="007075D8"/>
    <w:rsid w:val="00707AC5"/>
    <w:rsid w:val="00707E15"/>
    <w:rsid w:val="00707F92"/>
    <w:rsid w:val="00710106"/>
    <w:rsid w:val="00710243"/>
    <w:rsid w:val="00710410"/>
    <w:rsid w:val="0071048E"/>
    <w:rsid w:val="007106E4"/>
    <w:rsid w:val="007108F9"/>
    <w:rsid w:val="007108FE"/>
    <w:rsid w:val="00710E73"/>
    <w:rsid w:val="00711067"/>
    <w:rsid w:val="00711127"/>
    <w:rsid w:val="007114F8"/>
    <w:rsid w:val="00711782"/>
    <w:rsid w:val="007117A4"/>
    <w:rsid w:val="00711F07"/>
    <w:rsid w:val="00711FC2"/>
    <w:rsid w:val="00712240"/>
    <w:rsid w:val="007122A6"/>
    <w:rsid w:val="0071253E"/>
    <w:rsid w:val="0071259B"/>
    <w:rsid w:val="0071268E"/>
    <w:rsid w:val="0071272F"/>
    <w:rsid w:val="00712801"/>
    <w:rsid w:val="00713336"/>
    <w:rsid w:val="007137BA"/>
    <w:rsid w:val="0071406D"/>
    <w:rsid w:val="00714132"/>
    <w:rsid w:val="00714351"/>
    <w:rsid w:val="00714679"/>
    <w:rsid w:val="00714A7C"/>
    <w:rsid w:val="00715637"/>
    <w:rsid w:val="00715E0E"/>
    <w:rsid w:val="0071655D"/>
    <w:rsid w:val="0071687A"/>
    <w:rsid w:val="0071687C"/>
    <w:rsid w:val="007168BF"/>
    <w:rsid w:val="00716DE8"/>
    <w:rsid w:val="00716DF0"/>
    <w:rsid w:val="00716FE4"/>
    <w:rsid w:val="0072013B"/>
    <w:rsid w:val="00720315"/>
    <w:rsid w:val="0072033C"/>
    <w:rsid w:val="0072039D"/>
    <w:rsid w:val="007203C7"/>
    <w:rsid w:val="00720E27"/>
    <w:rsid w:val="007212C0"/>
    <w:rsid w:val="007214AE"/>
    <w:rsid w:val="007224C2"/>
    <w:rsid w:val="0072251D"/>
    <w:rsid w:val="00722611"/>
    <w:rsid w:val="007226C4"/>
    <w:rsid w:val="00722913"/>
    <w:rsid w:val="00722915"/>
    <w:rsid w:val="00722BA8"/>
    <w:rsid w:val="00722E3A"/>
    <w:rsid w:val="00722E8B"/>
    <w:rsid w:val="00723558"/>
    <w:rsid w:val="007235D1"/>
    <w:rsid w:val="0072398A"/>
    <w:rsid w:val="00723A31"/>
    <w:rsid w:val="00723F54"/>
    <w:rsid w:val="0072450E"/>
    <w:rsid w:val="00724625"/>
    <w:rsid w:val="00725056"/>
    <w:rsid w:val="007252D4"/>
    <w:rsid w:val="00725620"/>
    <w:rsid w:val="00725827"/>
    <w:rsid w:val="007259DD"/>
    <w:rsid w:val="00725B8D"/>
    <w:rsid w:val="00725D65"/>
    <w:rsid w:val="0072603C"/>
    <w:rsid w:val="007260BF"/>
    <w:rsid w:val="007267DD"/>
    <w:rsid w:val="00726819"/>
    <w:rsid w:val="0072686E"/>
    <w:rsid w:val="00726C74"/>
    <w:rsid w:val="007271A8"/>
    <w:rsid w:val="00727204"/>
    <w:rsid w:val="00727DF0"/>
    <w:rsid w:val="00730112"/>
    <w:rsid w:val="007301CC"/>
    <w:rsid w:val="007302E8"/>
    <w:rsid w:val="00730985"/>
    <w:rsid w:val="007309F5"/>
    <w:rsid w:val="00730A0C"/>
    <w:rsid w:val="00730E34"/>
    <w:rsid w:val="007310B0"/>
    <w:rsid w:val="0073146B"/>
    <w:rsid w:val="0073195F"/>
    <w:rsid w:val="00731AD1"/>
    <w:rsid w:val="007324BC"/>
    <w:rsid w:val="00732AAA"/>
    <w:rsid w:val="007333F5"/>
    <w:rsid w:val="0073357E"/>
    <w:rsid w:val="007336F6"/>
    <w:rsid w:val="00734B0D"/>
    <w:rsid w:val="00734C77"/>
    <w:rsid w:val="00734DC7"/>
    <w:rsid w:val="00734F2C"/>
    <w:rsid w:val="00735428"/>
    <w:rsid w:val="00735F61"/>
    <w:rsid w:val="00735FE3"/>
    <w:rsid w:val="007360C9"/>
    <w:rsid w:val="007363A0"/>
    <w:rsid w:val="00736A6D"/>
    <w:rsid w:val="00736D9E"/>
    <w:rsid w:val="007373D9"/>
    <w:rsid w:val="0073752A"/>
    <w:rsid w:val="00737584"/>
    <w:rsid w:val="007377BC"/>
    <w:rsid w:val="007379ED"/>
    <w:rsid w:val="00737DCB"/>
    <w:rsid w:val="00737F36"/>
    <w:rsid w:val="0074056B"/>
    <w:rsid w:val="007407FA"/>
    <w:rsid w:val="00740B04"/>
    <w:rsid w:val="00740B76"/>
    <w:rsid w:val="00740E77"/>
    <w:rsid w:val="00740F7F"/>
    <w:rsid w:val="007410C5"/>
    <w:rsid w:val="0074119D"/>
    <w:rsid w:val="007411F4"/>
    <w:rsid w:val="007414B0"/>
    <w:rsid w:val="0074159B"/>
    <w:rsid w:val="0074164B"/>
    <w:rsid w:val="007416D7"/>
    <w:rsid w:val="00741B02"/>
    <w:rsid w:val="00742199"/>
    <w:rsid w:val="00742240"/>
    <w:rsid w:val="007424F2"/>
    <w:rsid w:val="0074256E"/>
    <w:rsid w:val="00742E0C"/>
    <w:rsid w:val="00743140"/>
    <w:rsid w:val="00743141"/>
    <w:rsid w:val="00743200"/>
    <w:rsid w:val="00743753"/>
    <w:rsid w:val="007437F2"/>
    <w:rsid w:val="00743E07"/>
    <w:rsid w:val="00744AF5"/>
    <w:rsid w:val="00744C75"/>
    <w:rsid w:val="00745419"/>
    <w:rsid w:val="00745A58"/>
    <w:rsid w:val="00745D23"/>
    <w:rsid w:val="007462C1"/>
    <w:rsid w:val="0074653B"/>
    <w:rsid w:val="007465FA"/>
    <w:rsid w:val="00747253"/>
    <w:rsid w:val="007473EF"/>
    <w:rsid w:val="00747A56"/>
    <w:rsid w:val="00747C4D"/>
    <w:rsid w:val="007504B1"/>
    <w:rsid w:val="00750D7E"/>
    <w:rsid w:val="007517F5"/>
    <w:rsid w:val="00751841"/>
    <w:rsid w:val="00751F2C"/>
    <w:rsid w:val="007520AA"/>
    <w:rsid w:val="0075232A"/>
    <w:rsid w:val="007523C0"/>
    <w:rsid w:val="0075258E"/>
    <w:rsid w:val="0075263B"/>
    <w:rsid w:val="00752801"/>
    <w:rsid w:val="00752D83"/>
    <w:rsid w:val="00752F05"/>
    <w:rsid w:val="0075391C"/>
    <w:rsid w:val="00753EAB"/>
    <w:rsid w:val="007542E1"/>
    <w:rsid w:val="00754D3E"/>
    <w:rsid w:val="00755259"/>
    <w:rsid w:val="007553E3"/>
    <w:rsid w:val="007558CF"/>
    <w:rsid w:val="00755A1A"/>
    <w:rsid w:val="00755B62"/>
    <w:rsid w:val="00755DBC"/>
    <w:rsid w:val="00755F46"/>
    <w:rsid w:val="00756464"/>
    <w:rsid w:val="0075653D"/>
    <w:rsid w:val="00756541"/>
    <w:rsid w:val="00756AF2"/>
    <w:rsid w:val="00756CDA"/>
    <w:rsid w:val="00757B20"/>
    <w:rsid w:val="00757C73"/>
    <w:rsid w:val="0076022D"/>
    <w:rsid w:val="00760282"/>
    <w:rsid w:val="0076030D"/>
    <w:rsid w:val="00760BE6"/>
    <w:rsid w:val="00761788"/>
    <w:rsid w:val="00761DE9"/>
    <w:rsid w:val="007620D4"/>
    <w:rsid w:val="007621B0"/>
    <w:rsid w:val="007625AC"/>
    <w:rsid w:val="00762600"/>
    <w:rsid w:val="007626ED"/>
    <w:rsid w:val="00762BF5"/>
    <w:rsid w:val="00762E10"/>
    <w:rsid w:val="00762EF1"/>
    <w:rsid w:val="00762F5F"/>
    <w:rsid w:val="0076328B"/>
    <w:rsid w:val="00763A1C"/>
    <w:rsid w:val="0076401F"/>
    <w:rsid w:val="00764113"/>
    <w:rsid w:val="007643EE"/>
    <w:rsid w:val="007648F0"/>
    <w:rsid w:val="0076498D"/>
    <w:rsid w:val="00764A03"/>
    <w:rsid w:val="00764B55"/>
    <w:rsid w:val="0076575A"/>
    <w:rsid w:val="007658C2"/>
    <w:rsid w:val="007658CA"/>
    <w:rsid w:val="00765C28"/>
    <w:rsid w:val="00765F9A"/>
    <w:rsid w:val="0076617B"/>
    <w:rsid w:val="007665E4"/>
    <w:rsid w:val="00766A5E"/>
    <w:rsid w:val="00766A8E"/>
    <w:rsid w:val="0076740A"/>
    <w:rsid w:val="00767716"/>
    <w:rsid w:val="00767719"/>
    <w:rsid w:val="00767AFE"/>
    <w:rsid w:val="00767ECA"/>
    <w:rsid w:val="007704D0"/>
    <w:rsid w:val="0077053A"/>
    <w:rsid w:val="00770783"/>
    <w:rsid w:val="007708B6"/>
    <w:rsid w:val="00770A84"/>
    <w:rsid w:val="00770CAF"/>
    <w:rsid w:val="00771294"/>
    <w:rsid w:val="00771677"/>
    <w:rsid w:val="00771A39"/>
    <w:rsid w:val="007721E1"/>
    <w:rsid w:val="007728AB"/>
    <w:rsid w:val="00772EC9"/>
    <w:rsid w:val="00772FAF"/>
    <w:rsid w:val="00772FE6"/>
    <w:rsid w:val="007731E6"/>
    <w:rsid w:val="007733DC"/>
    <w:rsid w:val="007735E5"/>
    <w:rsid w:val="007735F2"/>
    <w:rsid w:val="00773963"/>
    <w:rsid w:val="00773DC3"/>
    <w:rsid w:val="00773FD3"/>
    <w:rsid w:val="007745FB"/>
    <w:rsid w:val="00774A63"/>
    <w:rsid w:val="00775089"/>
    <w:rsid w:val="007750C1"/>
    <w:rsid w:val="00775231"/>
    <w:rsid w:val="007753BD"/>
    <w:rsid w:val="00775584"/>
    <w:rsid w:val="0077588C"/>
    <w:rsid w:val="007758A2"/>
    <w:rsid w:val="00775EF4"/>
    <w:rsid w:val="00775F35"/>
    <w:rsid w:val="00775F77"/>
    <w:rsid w:val="007761D0"/>
    <w:rsid w:val="007765ED"/>
    <w:rsid w:val="0077691E"/>
    <w:rsid w:val="00776BB6"/>
    <w:rsid w:val="0077727B"/>
    <w:rsid w:val="0077727E"/>
    <w:rsid w:val="007778E4"/>
    <w:rsid w:val="00780001"/>
    <w:rsid w:val="007801B3"/>
    <w:rsid w:val="00780219"/>
    <w:rsid w:val="0078030A"/>
    <w:rsid w:val="0078041A"/>
    <w:rsid w:val="00780564"/>
    <w:rsid w:val="00780BD9"/>
    <w:rsid w:val="00780C48"/>
    <w:rsid w:val="00781762"/>
    <w:rsid w:val="00781A4B"/>
    <w:rsid w:val="00781B15"/>
    <w:rsid w:val="00781D05"/>
    <w:rsid w:val="007821C0"/>
    <w:rsid w:val="007827A9"/>
    <w:rsid w:val="00782A13"/>
    <w:rsid w:val="0078376B"/>
    <w:rsid w:val="007838C6"/>
    <w:rsid w:val="00783999"/>
    <w:rsid w:val="00783A62"/>
    <w:rsid w:val="00783AF7"/>
    <w:rsid w:val="00783CD3"/>
    <w:rsid w:val="007840C9"/>
    <w:rsid w:val="007840CA"/>
    <w:rsid w:val="0078422E"/>
    <w:rsid w:val="00784263"/>
    <w:rsid w:val="00784527"/>
    <w:rsid w:val="007849FE"/>
    <w:rsid w:val="00784D29"/>
    <w:rsid w:val="00784FF4"/>
    <w:rsid w:val="00785997"/>
    <w:rsid w:val="00785D70"/>
    <w:rsid w:val="007862F5"/>
    <w:rsid w:val="007869CE"/>
    <w:rsid w:val="00786AC0"/>
    <w:rsid w:val="0078724D"/>
    <w:rsid w:val="007873A9"/>
    <w:rsid w:val="007875A6"/>
    <w:rsid w:val="0078760D"/>
    <w:rsid w:val="007877EF"/>
    <w:rsid w:val="0078787A"/>
    <w:rsid w:val="007879BE"/>
    <w:rsid w:val="00790AFC"/>
    <w:rsid w:val="007910B0"/>
    <w:rsid w:val="007912BB"/>
    <w:rsid w:val="00791818"/>
    <w:rsid w:val="00791DFE"/>
    <w:rsid w:val="00791F25"/>
    <w:rsid w:val="00791FB2"/>
    <w:rsid w:val="007921AD"/>
    <w:rsid w:val="0079233F"/>
    <w:rsid w:val="00792355"/>
    <w:rsid w:val="00792400"/>
    <w:rsid w:val="007924EE"/>
    <w:rsid w:val="007925EC"/>
    <w:rsid w:val="007925F6"/>
    <w:rsid w:val="00792673"/>
    <w:rsid w:val="00792679"/>
    <w:rsid w:val="00792DCE"/>
    <w:rsid w:val="00793116"/>
    <w:rsid w:val="0079317E"/>
    <w:rsid w:val="00793189"/>
    <w:rsid w:val="007932DC"/>
    <w:rsid w:val="007932F6"/>
    <w:rsid w:val="00793756"/>
    <w:rsid w:val="00793A3C"/>
    <w:rsid w:val="00793F4C"/>
    <w:rsid w:val="007944D8"/>
    <w:rsid w:val="00794A2D"/>
    <w:rsid w:val="0079524D"/>
    <w:rsid w:val="00795701"/>
    <w:rsid w:val="0079583F"/>
    <w:rsid w:val="00795F58"/>
    <w:rsid w:val="00796092"/>
    <w:rsid w:val="00796202"/>
    <w:rsid w:val="0079648B"/>
    <w:rsid w:val="007966D1"/>
    <w:rsid w:val="007969C7"/>
    <w:rsid w:val="00796B36"/>
    <w:rsid w:val="00796E91"/>
    <w:rsid w:val="00797324"/>
    <w:rsid w:val="0079739D"/>
    <w:rsid w:val="0079773E"/>
    <w:rsid w:val="00797837"/>
    <w:rsid w:val="007979C0"/>
    <w:rsid w:val="00797AA0"/>
    <w:rsid w:val="00797D2B"/>
    <w:rsid w:val="007A1363"/>
    <w:rsid w:val="007A1656"/>
    <w:rsid w:val="007A1C27"/>
    <w:rsid w:val="007A1F81"/>
    <w:rsid w:val="007A1FF0"/>
    <w:rsid w:val="007A277E"/>
    <w:rsid w:val="007A2828"/>
    <w:rsid w:val="007A28A1"/>
    <w:rsid w:val="007A2AAD"/>
    <w:rsid w:val="007A2B12"/>
    <w:rsid w:val="007A37FB"/>
    <w:rsid w:val="007A3A59"/>
    <w:rsid w:val="007A3AA1"/>
    <w:rsid w:val="007A3D8B"/>
    <w:rsid w:val="007A464C"/>
    <w:rsid w:val="007A4A3F"/>
    <w:rsid w:val="007A4AB0"/>
    <w:rsid w:val="007A4DA9"/>
    <w:rsid w:val="007A4EA0"/>
    <w:rsid w:val="007A4F44"/>
    <w:rsid w:val="007A51CF"/>
    <w:rsid w:val="007A5304"/>
    <w:rsid w:val="007A583E"/>
    <w:rsid w:val="007A5985"/>
    <w:rsid w:val="007A5A5D"/>
    <w:rsid w:val="007A5C16"/>
    <w:rsid w:val="007A5F6A"/>
    <w:rsid w:val="007A64AB"/>
    <w:rsid w:val="007A652F"/>
    <w:rsid w:val="007A67DE"/>
    <w:rsid w:val="007A6BFE"/>
    <w:rsid w:val="007A6C10"/>
    <w:rsid w:val="007A6DA3"/>
    <w:rsid w:val="007A6DC0"/>
    <w:rsid w:val="007A75D3"/>
    <w:rsid w:val="007A7AA1"/>
    <w:rsid w:val="007A7E9F"/>
    <w:rsid w:val="007B0572"/>
    <w:rsid w:val="007B0AF6"/>
    <w:rsid w:val="007B0C24"/>
    <w:rsid w:val="007B14F1"/>
    <w:rsid w:val="007B161E"/>
    <w:rsid w:val="007B1F07"/>
    <w:rsid w:val="007B1FBD"/>
    <w:rsid w:val="007B262B"/>
    <w:rsid w:val="007B2893"/>
    <w:rsid w:val="007B28FF"/>
    <w:rsid w:val="007B2A1C"/>
    <w:rsid w:val="007B2C8C"/>
    <w:rsid w:val="007B3FE6"/>
    <w:rsid w:val="007B4072"/>
    <w:rsid w:val="007B4088"/>
    <w:rsid w:val="007B408D"/>
    <w:rsid w:val="007B4727"/>
    <w:rsid w:val="007B4833"/>
    <w:rsid w:val="007B4A99"/>
    <w:rsid w:val="007B5220"/>
    <w:rsid w:val="007B52E4"/>
    <w:rsid w:val="007B5918"/>
    <w:rsid w:val="007B5D77"/>
    <w:rsid w:val="007B6123"/>
    <w:rsid w:val="007B641F"/>
    <w:rsid w:val="007B715A"/>
    <w:rsid w:val="007B7433"/>
    <w:rsid w:val="007B7D11"/>
    <w:rsid w:val="007B7E11"/>
    <w:rsid w:val="007C00A9"/>
    <w:rsid w:val="007C0194"/>
    <w:rsid w:val="007C04B0"/>
    <w:rsid w:val="007C070F"/>
    <w:rsid w:val="007C0B3A"/>
    <w:rsid w:val="007C0F3F"/>
    <w:rsid w:val="007C0F62"/>
    <w:rsid w:val="007C1A1C"/>
    <w:rsid w:val="007C1B6A"/>
    <w:rsid w:val="007C1EE8"/>
    <w:rsid w:val="007C1FBC"/>
    <w:rsid w:val="007C21FD"/>
    <w:rsid w:val="007C228D"/>
    <w:rsid w:val="007C281B"/>
    <w:rsid w:val="007C292B"/>
    <w:rsid w:val="007C2DB8"/>
    <w:rsid w:val="007C32E2"/>
    <w:rsid w:val="007C37F1"/>
    <w:rsid w:val="007C38D0"/>
    <w:rsid w:val="007C3F69"/>
    <w:rsid w:val="007C42BE"/>
    <w:rsid w:val="007C478D"/>
    <w:rsid w:val="007C4FCA"/>
    <w:rsid w:val="007C5405"/>
    <w:rsid w:val="007C59C2"/>
    <w:rsid w:val="007C6433"/>
    <w:rsid w:val="007C6C24"/>
    <w:rsid w:val="007C72CB"/>
    <w:rsid w:val="007C7478"/>
    <w:rsid w:val="007C77D3"/>
    <w:rsid w:val="007C7990"/>
    <w:rsid w:val="007D0190"/>
    <w:rsid w:val="007D0585"/>
    <w:rsid w:val="007D0BEB"/>
    <w:rsid w:val="007D0F91"/>
    <w:rsid w:val="007D11C8"/>
    <w:rsid w:val="007D180C"/>
    <w:rsid w:val="007D1A90"/>
    <w:rsid w:val="007D1D3F"/>
    <w:rsid w:val="007D1DCC"/>
    <w:rsid w:val="007D1DFA"/>
    <w:rsid w:val="007D26F7"/>
    <w:rsid w:val="007D27EC"/>
    <w:rsid w:val="007D28D0"/>
    <w:rsid w:val="007D3025"/>
    <w:rsid w:val="007D305A"/>
    <w:rsid w:val="007D359B"/>
    <w:rsid w:val="007D44EA"/>
    <w:rsid w:val="007D46CA"/>
    <w:rsid w:val="007D4AB9"/>
    <w:rsid w:val="007D55B1"/>
    <w:rsid w:val="007D56F2"/>
    <w:rsid w:val="007D612D"/>
    <w:rsid w:val="007D6606"/>
    <w:rsid w:val="007D667C"/>
    <w:rsid w:val="007D6C15"/>
    <w:rsid w:val="007D6C42"/>
    <w:rsid w:val="007D73EC"/>
    <w:rsid w:val="007D78AC"/>
    <w:rsid w:val="007D7D2A"/>
    <w:rsid w:val="007E0112"/>
    <w:rsid w:val="007E0410"/>
    <w:rsid w:val="007E13D9"/>
    <w:rsid w:val="007E1504"/>
    <w:rsid w:val="007E153F"/>
    <w:rsid w:val="007E19BD"/>
    <w:rsid w:val="007E1DE9"/>
    <w:rsid w:val="007E28FA"/>
    <w:rsid w:val="007E2900"/>
    <w:rsid w:val="007E29EB"/>
    <w:rsid w:val="007E2A3B"/>
    <w:rsid w:val="007E2F02"/>
    <w:rsid w:val="007E3616"/>
    <w:rsid w:val="007E36F1"/>
    <w:rsid w:val="007E3906"/>
    <w:rsid w:val="007E3EA2"/>
    <w:rsid w:val="007E3EF8"/>
    <w:rsid w:val="007E4407"/>
    <w:rsid w:val="007E44D9"/>
    <w:rsid w:val="007E5115"/>
    <w:rsid w:val="007E5159"/>
    <w:rsid w:val="007E5261"/>
    <w:rsid w:val="007E52A1"/>
    <w:rsid w:val="007E52B6"/>
    <w:rsid w:val="007E5303"/>
    <w:rsid w:val="007E53DE"/>
    <w:rsid w:val="007E5513"/>
    <w:rsid w:val="007E5FA7"/>
    <w:rsid w:val="007E6097"/>
    <w:rsid w:val="007E620B"/>
    <w:rsid w:val="007E6F6B"/>
    <w:rsid w:val="007E7036"/>
    <w:rsid w:val="007E7321"/>
    <w:rsid w:val="007E76D8"/>
    <w:rsid w:val="007E7A4B"/>
    <w:rsid w:val="007E7ACD"/>
    <w:rsid w:val="007E7BFB"/>
    <w:rsid w:val="007E7F09"/>
    <w:rsid w:val="007F05C2"/>
    <w:rsid w:val="007F12FC"/>
    <w:rsid w:val="007F1609"/>
    <w:rsid w:val="007F17A5"/>
    <w:rsid w:val="007F1D7F"/>
    <w:rsid w:val="007F200E"/>
    <w:rsid w:val="007F20DE"/>
    <w:rsid w:val="007F2251"/>
    <w:rsid w:val="007F22BD"/>
    <w:rsid w:val="007F2A6B"/>
    <w:rsid w:val="007F2C50"/>
    <w:rsid w:val="007F2F7A"/>
    <w:rsid w:val="007F3032"/>
    <w:rsid w:val="007F363E"/>
    <w:rsid w:val="007F3DD2"/>
    <w:rsid w:val="007F3FFC"/>
    <w:rsid w:val="007F4175"/>
    <w:rsid w:val="007F41AC"/>
    <w:rsid w:val="007F44F5"/>
    <w:rsid w:val="007F4745"/>
    <w:rsid w:val="007F4987"/>
    <w:rsid w:val="007F4E49"/>
    <w:rsid w:val="007F52ED"/>
    <w:rsid w:val="007F5596"/>
    <w:rsid w:val="007F56ED"/>
    <w:rsid w:val="007F58F2"/>
    <w:rsid w:val="007F60BB"/>
    <w:rsid w:val="007F6218"/>
    <w:rsid w:val="007F6417"/>
    <w:rsid w:val="007F64DA"/>
    <w:rsid w:val="007F687F"/>
    <w:rsid w:val="007F69BC"/>
    <w:rsid w:val="007F6D57"/>
    <w:rsid w:val="007F6F03"/>
    <w:rsid w:val="007F7200"/>
    <w:rsid w:val="007F7672"/>
    <w:rsid w:val="007F7814"/>
    <w:rsid w:val="007F7963"/>
    <w:rsid w:val="0080021F"/>
    <w:rsid w:val="0080026E"/>
    <w:rsid w:val="00800396"/>
    <w:rsid w:val="008003AA"/>
    <w:rsid w:val="008005C2"/>
    <w:rsid w:val="00800662"/>
    <w:rsid w:val="0080091E"/>
    <w:rsid w:val="008009F4"/>
    <w:rsid w:val="00800BB6"/>
    <w:rsid w:val="008012A5"/>
    <w:rsid w:val="00801326"/>
    <w:rsid w:val="00801455"/>
    <w:rsid w:val="00801456"/>
    <w:rsid w:val="00801467"/>
    <w:rsid w:val="0080148D"/>
    <w:rsid w:val="00801746"/>
    <w:rsid w:val="0080178C"/>
    <w:rsid w:val="008018F3"/>
    <w:rsid w:val="00801C5E"/>
    <w:rsid w:val="00801DCC"/>
    <w:rsid w:val="008021E1"/>
    <w:rsid w:val="008022B8"/>
    <w:rsid w:val="008025D2"/>
    <w:rsid w:val="00802781"/>
    <w:rsid w:val="00802845"/>
    <w:rsid w:val="00802EF8"/>
    <w:rsid w:val="00802F49"/>
    <w:rsid w:val="008033BF"/>
    <w:rsid w:val="008034B4"/>
    <w:rsid w:val="00803638"/>
    <w:rsid w:val="00803773"/>
    <w:rsid w:val="008039E7"/>
    <w:rsid w:val="00803E0F"/>
    <w:rsid w:val="00804105"/>
    <w:rsid w:val="00804218"/>
    <w:rsid w:val="008045B2"/>
    <w:rsid w:val="00804790"/>
    <w:rsid w:val="008049D9"/>
    <w:rsid w:val="00804B5A"/>
    <w:rsid w:val="00804E45"/>
    <w:rsid w:val="00804ECD"/>
    <w:rsid w:val="0080503E"/>
    <w:rsid w:val="008050F0"/>
    <w:rsid w:val="008052F8"/>
    <w:rsid w:val="008059E4"/>
    <w:rsid w:val="00805AE5"/>
    <w:rsid w:val="00805FC2"/>
    <w:rsid w:val="008067D7"/>
    <w:rsid w:val="00806A68"/>
    <w:rsid w:val="00806BE4"/>
    <w:rsid w:val="00806F08"/>
    <w:rsid w:val="008073FC"/>
    <w:rsid w:val="0080779B"/>
    <w:rsid w:val="00807C37"/>
    <w:rsid w:val="0081002F"/>
    <w:rsid w:val="008105F0"/>
    <w:rsid w:val="00810A36"/>
    <w:rsid w:val="00810E41"/>
    <w:rsid w:val="00811399"/>
    <w:rsid w:val="008114EC"/>
    <w:rsid w:val="008115D0"/>
    <w:rsid w:val="008117DC"/>
    <w:rsid w:val="00811807"/>
    <w:rsid w:val="008121D9"/>
    <w:rsid w:val="0081286A"/>
    <w:rsid w:val="00812C51"/>
    <w:rsid w:val="00812E26"/>
    <w:rsid w:val="00813683"/>
    <w:rsid w:val="008136CA"/>
    <w:rsid w:val="0081382E"/>
    <w:rsid w:val="008143E2"/>
    <w:rsid w:val="00814549"/>
    <w:rsid w:val="00814611"/>
    <w:rsid w:val="00815075"/>
    <w:rsid w:val="008158D0"/>
    <w:rsid w:val="008162BB"/>
    <w:rsid w:val="008164D5"/>
    <w:rsid w:val="00816990"/>
    <w:rsid w:val="00816C06"/>
    <w:rsid w:val="00816E1A"/>
    <w:rsid w:val="00817048"/>
    <w:rsid w:val="00817871"/>
    <w:rsid w:val="0081789E"/>
    <w:rsid w:val="0081797F"/>
    <w:rsid w:val="00817DA3"/>
    <w:rsid w:val="00820274"/>
    <w:rsid w:val="008202B6"/>
    <w:rsid w:val="008204E4"/>
    <w:rsid w:val="00820715"/>
    <w:rsid w:val="00820E5F"/>
    <w:rsid w:val="00820EE5"/>
    <w:rsid w:val="00820F17"/>
    <w:rsid w:val="00820F9D"/>
    <w:rsid w:val="00821258"/>
    <w:rsid w:val="00821283"/>
    <w:rsid w:val="0082151E"/>
    <w:rsid w:val="008216E4"/>
    <w:rsid w:val="0082190F"/>
    <w:rsid w:val="008219EF"/>
    <w:rsid w:val="00821A00"/>
    <w:rsid w:val="00821B79"/>
    <w:rsid w:val="00821C0F"/>
    <w:rsid w:val="00821F96"/>
    <w:rsid w:val="0082277D"/>
    <w:rsid w:val="008228EF"/>
    <w:rsid w:val="00822DF5"/>
    <w:rsid w:val="00822E97"/>
    <w:rsid w:val="00822ECC"/>
    <w:rsid w:val="008230E5"/>
    <w:rsid w:val="008232C5"/>
    <w:rsid w:val="008232E2"/>
    <w:rsid w:val="00823E3E"/>
    <w:rsid w:val="00823FF0"/>
    <w:rsid w:val="00825436"/>
    <w:rsid w:val="00825752"/>
    <w:rsid w:val="00825AE2"/>
    <w:rsid w:val="00825BED"/>
    <w:rsid w:val="00826249"/>
    <w:rsid w:val="00826293"/>
    <w:rsid w:val="008263B6"/>
    <w:rsid w:val="00826786"/>
    <w:rsid w:val="0082689F"/>
    <w:rsid w:val="00827054"/>
    <w:rsid w:val="0082713D"/>
    <w:rsid w:val="00827392"/>
    <w:rsid w:val="00827475"/>
    <w:rsid w:val="008302D2"/>
    <w:rsid w:val="0083031F"/>
    <w:rsid w:val="00830E30"/>
    <w:rsid w:val="00830ECB"/>
    <w:rsid w:val="00831159"/>
    <w:rsid w:val="00831657"/>
    <w:rsid w:val="00831A32"/>
    <w:rsid w:val="00831CBF"/>
    <w:rsid w:val="00831F0D"/>
    <w:rsid w:val="0083203F"/>
    <w:rsid w:val="008322E6"/>
    <w:rsid w:val="008322F8"/>
    <w:rsid w:val="008323F3"/>
    <w:rsid w:val="00832614"/>
    <w:rsid w:val="00832659"/>
    <w:rsid w:val="00832709"/>
    <w:rsid w:val="0083272D"/>
    <w:rsid w:val="008327A6"/>
    <w:rsid w:val="00832BD4"/>
    <w:rsid w:val="00832E95"/>
    <w:rsid w:val="00832F5E"/>
    <w:rsid w:val="00832FC9"/>
    <w:rsid w:val="00832FE2"/>
    <w:rsid w:val="00833279"/>
    <w:rsid w:val="0083362E"/>
    <w:rsid w:val="00834468"/>
    <w:rsid w:val="00834666"/>
    <w:rsid w:val="00834AAB"/>
    <w:rsid w:val="00834CEF"/>
    <w:rsid w:val="00834D83"/>
    <w:rsid w:val="00834EF6"/>
    <w:rsid w:val="008351D7"/>
    <w:rsid w:val="00835558"/>
    <w:rsid w:val="0083561D"/>
    <w:rsid w:val="00835C4F"/>
    <w:rsid w:val="008363B1"/>
    <w:rsid w:val="00836561"/>
    <w:rsid w:val="0083686F"/>
    <w:rsid w:val="00836DAE"/>
    <w:rsid w:val="00836DD6"/>
    <w:rsid w:val="00836E08"/>
    <w:rsid w:val="00836EA6"/>
    <w:rsid w:val="008372F7"/>
    <w:rsid w:val="008374A8"/>
    <w:rsid w:val="00837B4A"/>
    <w:rsid w:val="00837E50"/>
    <w:rsid w:val="0084031E"/>
    <w:rsid w:val="0084045F"/>
    <w:rsid w:val="0084063A"/>
    <w:rsid w:val="00840DCE"/>
    <w:rsid w:val="00840EF7"/>
    <w:rsid w:val="00841364"/>
    <w:rsid w:val="00841435"/>
    <w:rsid w:val="008416A8"/>
    <w:rsid w:val="00841766"/>
    <w:rsid w:val="008419EC"/>
    <w:rsid w:val="00841C16"/>
    <w:rsid w:val="00841F03"/>
    <w:rsid w:val="00842143"/>
    <w:rsid w:val="008427D2"/>
    <w:rsid w:val="00842F7E"/>
    <w:rsid w:val="008432E0"/>
    <w:rsid w:val="008432F2"/>
    <w:rsid w:val="00843341"/>
    <w:rsid w:val="00843388"/>
    <w:rsid w:val="008436BD"/>
    <w:rsid w:val="00843852"/>
    <w:rsid w:val="008439AC"/>
    <w:rsid w:val="0084424D"/>
    <w:rsid w:val="0084439B"/>
    <w:rsid w:val="00844B20"/>
    <w:rsid w:val="008450B0"/>
    <w:rsid w:val="0084571F"/>
    <w:rsid w:val="00845C0A"/>
    <w:rsid w:val="00845C72"/>
    <w:rsid w:val="00845E4C"/>
    <w:rsid w:val="00846656"/>
    <w:rsid w:val="00846925"/>
    <w:rsid w:val="00847935"/>
    <w:rsid w:val="00847EEF"/>
    <w:rsid w:val="008501EE"/>
    <w:rsid w:val="008507C4"/>
    <w:rsid w:val="00850B68"/>
    <w:rsid w:val="00850CD4"/>
    <w:rsid w:val="00850D4F"/>
    <w:rsid w:val="00850DBB"/>
    <w:rsid w:val="0085106E"/>
    <w:rsid w:val="0085172E"/>
    <w:rsid w:val="008518A8"/>
    <w:rsid w:val="00851945"/>
    <w:rsid w:val="00851A2F"/>
    <w:rsid w:val="00851A82"/>
    <w:rsid w:val="00851A8C"/>
    <w:rsid w:val="00851DAC"/>
    <w:rsid w:val="00852384"/>
    <w:rsid w:val="008528E2"/>
    <w:rsid w:val="00852DF1"/>
    <w:rsid w:val="00852F19"/>
    <w:rsid w:val="00853FD7"/>
    <w:rsid w:val="00854B8F"/>
    <w:rsid w:val="00855153"/>
    <w:rsid w:val="008551A2"/>
    <w:rsid w:val="00855509"/>
    <w:rsid w:val="00855561"/>
    <w:rsid w:val="00855745"/>
    <w:rsid w:val="008558AE"/>
    <w:rsid w:val="00855965"/>
    <w:rsid w:val="00855FF9"/>
    <w:rsid w:val="0085606E"/>
    <w:rsid w:val="00856491"/>
    <w:rsid w:val="008568F2"/>
    <w:rsid w:val="0085713A"/>
    <w:rsid w:val="00857628"/>
    <w:rsid w:val="00857E8C"/>
    <w:rsid w:val="00857F6A"/>
    <w:rsid w:val="0086005E"/>
    <w:rsid w:val="00860390"/>
    <w:rsid w:val="00860677"/>
    <w:rsid w:val="00860E83"/>
    <w:rsid w:val="00861310"/>
    <w:rsid w:val="0086144E"/>
    <w:rsid w:val="0086168D"/>
    <w:rsid w:val="008616EB"/>
    <w:rsid w:val="00861902"/>
    <w:rsid w:val="00861C62"/>
    <w:rsid w:val="00861E2D"/>
    <w:rsid w:val="0086260D"/>
    <w:rsid w:val="00862DA3"/>
    <w:rsid w:val="008631C3"/>
    <w:rsid w:val="00863343"/>
    <w:rsid w:val="00863572"/>
    <w:rsid w:val="00863A55"/>
    <w:rsid w:val="00863BC4"/>
    <w:rsid w:val="00863BCA"/>
    <w:rsid w:val="00863C39"/>
    <w:rsid w:val="0086400D"/>
    <w:rsid w:val="0086410B"/>
    <w:rsid w:val="00864219"/>
    <w:rsid w:val="008643BE"/>
    <w:rsid w:val="00864660"/>
    <w:rsid w:val="008646E0"/>
    <w:rsid w:val="00864885"/>
    <w:rsid w:val="00864CDB"/>
    <w:rsid w:val="00864E94"/>
    <w:rsid w:val="00865A1D"/>
    <w:rsid w:val="00865CF8"/>
    <w:rsid w:val="00866151"/>
    <w:rsid w:val="008661A4"/>
    <w:rsid w:val="00866640"/>
    <w:rsid w:val="00866B17"/>
    <w:rsid w:val="00867A5F"/>
    <w:rsid w:val="0087031C"/>
    <w:rsid w:val="00870646"/>
    <w:rsid w:val="00870C82"/>
    <w:rsid w:val="00871506"/>
    <w:rsid w:val="00872326"/>
    <w:rsid w:val="008729DF"/>
    <w:rsid w:val="00872AAB"/>
    <w:rsid w:val="00872C16"/>
    <w:rsid w:val="00872D9B"/>
    <w:rsid w:val="00872E3B"/>
    <w:rsid w:val="0087310F"/>
    <w:rsid w:val="0087312F"/>
    <w:rsid w:val="00873177"/>
    <w:rsid w:val="00873289"/>
    <w:rsid w:val="00873420"/>
    <w:rsid w:val="00873593"/>
    <w:rsid w:val="00874345"/>
    <w:rsid w:val="00874F51"/>
    <w:rsid w:val="00874FEC"/>
    <w:rsid w:val="00875238"/>
    <w:rsid w:val="00875345"/>
    <w:rsid w:val="00875463"/>
    <w:rsid w:val="0087589C"/>
    <w:rsid w:val="00875D2A"/>
    <w:rsid w:val="00875F14"/>
    <w:rsid w:val="00876128"/>
    <w:rsid w:val="0087695E"/>
    <w:rsid w:val="008769C4"/>
    <w:rsid w:val="00876DF1"/>
    <w:rsid w:val="00876F67"/>
    <w:rsid w:val="0087712B"/>
    <w:rsid w:val="0087714E"/>
    <w:rsid w:val="0087733D"/>
    <w:rsid w:val="0087766B"/>
    <w:rsid w:val="0087767E"/>
    <w:rsid w:val="00877814"/>
    <w:rsid w:val="00877D19"/>
    <w:rsid w:val="00877DF0"/>
    <w:rsid w:val="00877F58"/>
    <w:rsid w:val="0088053D"/>
    <w:rsid w:val="00880891"/>
    <w:rsid w:val="00880AB5"/>
    <w:rsid w:val="00881EDB"/>
    <w:rsid w:val="0088222E"/>
    <w:rsid w:val="008824DC"/>
    <w:rsid w:val="00883033"/>
    <w:rsid w:val="00883571"/>
    <w:rsid w:val="00883E3B"/>
    <w:rsid w:val="0088428B"/>
    <w:rsid w:val="008842D8"/>
    <w:rsid w:val="00884369"/>
    <w:rsid w:val="008847F5"/>
    <w:rsid w:val="0088490C"/>
    <w:rsid w:val="00885043"/>
    <w:rsid w:val="00885085"/>
    <w:rsid w:val="0088560F"/>
    <w:rsid w:val="008858BF"/>
    <w:rsid w:val="008858E0"/>
    <w:rsid w:val="00885A2E"/>
    <w:rsid w:val="00885A60"/>
    <w:rsid w:val="00886930"/>
    <w:rsid w:val="00886D63"/>
    <w:rsid w:val="00886E54"/>
    <w:rsid w:val="00887023"/>
    <w:rsid w:val="0088746C"/>
    <w:rsid w:val="0088779D"/>
    <w:rsid w:val="00887A40"/>
    <w:rsid w:val="00887A95"/>
    <w:rsid w:val="00887BBF"/>
    <w:rsid w:val="00887D61"/>
    <w:rsid w:val="00887FC0"/>
    <w:rsid w:val="00890149"/>
    <w:rsid w:val="00890179"/>
    <w:rsid w:val="0089048F"/>
    <w:rsid w:val="008904AB"/>
    <w:rsid w:val="0089080C"/>
    <w:rsid w:val="00890F74"/>
    <w:rsid w:val="008913D8"/>
    <w:rsid w:val="00891D98"/>
    <w:rsid w:val="00892042"/>
    <w:rsid w:val="00892116"/>
    <w:rsid w:val="0089231C"/>
    <w:rsid w:val="00892624"/>
    <w:rsid w:val="008928DA"/>
    <w:rsid w:val="008930F8"/>
    <w:rsid w:val="008931BA"/>
    <w:rsid w:val="0089323A"/>
    <w:rsid w:val="00893316"/>
    <w:rsid w:val="0089357F"/>
    <w:rsid w:val="008935D3"/>
    <w:rsid w:val="008938A1"/>
    <w:rsid w:val="00894947"/>
    <w:rsid w:val="00894AFC"/>
    <w:rsid w:val="008958E0"/>
    <w:rsid w:val="00896363"/>
    <w:rsid w:val="0089658D"/>
    <w:rsid w:val="00896C34"/>
    <w:rsid w:val="00896CF4"/>
    <w:rsid w:val="00896F09"/>
    <w:rsid w:val="008971B4"/>
    <w:rsid w:val="00897566"/>
    <w:rsid w:val="00897818"/>
    <w:rsid w:val="00897F8B"/>
    <w:rsid w:val="008A0363"/>
    <w:rsid w:val="008A0770"/>
    <w:rsid w:val="008A0A81"/>
    <w:rsid w:val="008A0AD5"/>
    <w:rsid w:val="008A0BA5"/>
    <w:rsid w:val="008A1404"/>
    <w:rsid w:val="008A15EC"/>
    <w:rsid w:val="008A160C"/>
    <w:rsid w:val="008A1819"/>
    <w:rsid w:val="008A19FB"/>
    <w:rsid w:val="008A1D5A"/>
    <w:rsid w:val="008A25CC"/>
    <w:rsid w:val="008A2AFE"/>
    <w:rsid w:val="008A2BB1"/>
    <w:rsid w:val="008A2E1F"/>
    <w:rsid w:val="008A2E35"/>
    <w:rsid w:val="008A2F0C"/>
    <w:rsid w:val="008A2FD2"/>
    <w:rsid w:val="008A3081"/>
    <w:rsid w:val="008A32BF"/>
    <w:rsid w:val="008A358E"/>
    <w:rsid w:val="008A35F4"/>
    <w:rsid w:val="008A498B"/>
    <w:rsid w:val="008A4BDD"/>
    <w:rsid w:val="008A5474"/>
    <w:rsid w:val="008A562F"/>
    <w:rsid w:val="008A59CF"/>
    <w:rsid w:val="008A5A10"/>
    <w:rsid w:val="008A5B7D"/>
    <w:rsid w:val="008A5B9E"/>
    <w:rsid w:val="008A5FB2"/>
    <w:rsid w:val="008A62BC"/>
    <w:rsid w:val="008A65AA"/>
    <w:rsid w:val="008A669C"/>
    <w:rsid w:val="008A6D2D"/>
    <w:rsid w:val="008A6F8F"/>
    <w:rsid w:val="008A7091"/>
    <w:rsid w:val="008A7148"/>
    <w:rsid w:val="008A7293"/>
    <w:rsid w:val="008B0208"/>
    <w:rsid w:val="008B0268"/>
    <w:rsid w:val="008B03B2"/>
    <w:rsid w:val="008B048D"/>
    <w:rsid w:val="008B0597"/>
    <w:rsid w:val="008B05AF"/>
    <w:rsid w:val="008B0BC3"/>
    <w:rsid w:val="008B0D2E"/>
    <w:rsid w:val="008B0E8E"/>
    <w:rsid w:val="008B0EC8"/>
    <w:rsid w:val="008B1066"/>
    <w:rsid w:val="008B116F"/>
    <w:rsid w:val="008B1583"/>
    <w:rsid w:val="008B16DC"/>
    <w:rsid w:val="008B1BB1"/>
    <w:rsid w:val="008B1C03"/>
    <w:rsid w:val="008B1E54"/>
    <w:rsid w:val="008B1F7A"/>
    <w:rsid w:val="008B29F2"/>
    <w:rsid w:val="008B2B15"/>
    <w:rsid w:val="008B2DA8"/>
    <w:rsid w:val="008B2EFA"/>
    <w:rsid w:val="008B3071"/>
    <w:rsid w:val="008B3218"/>
    <w:rsid w:val="008B33BF"/>
    <w:rsid w:val="008B3630"/>
    <w:rsid w:val="008B3A49"/>
    <w:rsid w:val="008B3A7C"/>
    <w:rsid w:val="008B3C23"/>
    <w:rsid w:val="008B3CFD"/>
    <w:rsid w:val="008B3FCA"/>
    <w:rsid w:val="008B40AE"/>
    <w:rsid w:val="008B4148"/>
    <w:rsid w:val="008B42BD"/>
    <w:rsid w:val="008B464E"/>
    <w:rsid w:val="008B4739"/>
    <w:rsid w:val="008B50A2"/>
    <w:rsid w:val="008B5F44"/>
    <w:rsid w:val="008B5F91"/>
    <w:rsid w:val="008B6091"/>
    <w:rsid w:val="008B7B49"/>
    <w:rsid w:val="008C0732"/>
    <w:rsid w:val="008C0898"/>
    <w:rsid w:val="008C1069"/>
    <w:rsid w:val="008C1196"/>
    <w:rsid w:val="008C172A"/>
    <w:rsid w:val="008C180F"/>
    <w:rsid w:val="008C1BBB"/>
    <w:rsid w:val="008C1E4D"/>
    <w:rsid w:val="008C2075"/>
    <w:rsid w:val="008C2657"/>
    <w:rsid w:val="008C2856"/>
    <w:rsid w:val="008C2BC6"/>
    <w:rsid w:val="008C2BDD"/>
    <w:rsid w:val="008C2CE9"/>
    <w:rsid w:val="008C2E56"/>
    <w:rsid w:val="008C30FA"/>
    <w:rsid w:val="008C3338"/>
    <w:rsid w:val="008C3427"/>
    <w:rsid w:val="008C43F1"/>
    <w:rsid w:val="008C444A"/>
    <w:rsid w:val="008C4CB0"/>
    <w:rsid w:val="008C5357"/>
    <w:rsid w:val="008C56DB"/>
    <w:rsid w:val="008C5B03"/>
    <w:rsid w:val="008C5E75"/>
    <w:rsid w:val="008C6365"/>
    <w:rsid w:val="008C657A"/>
    <w:rsid w:val="008C68E8"/>
    <w:rsid w:val="008C6947"/>
    <w:rsid w:val="008C6C45"/>
    <w:rsid w:val="008C6E6B"/>
    <w:rsid w:val="008C6FD3"/>
    <w:rsid w:val="008C7095"/>
    <w:rsid w:val="008C740A"/>
    <w:rsid w:val="008C7958"/>
    <w:rsid w:val="008C7AA1"/>
    <w:rsid w:val="008C7CF0"/>
    <w:rsid w:val="008C7D29"/>
    <w:rsid w:val="008C7F08"/>
    <w:rsid w:val="008D01AE"/>
    <w:rsid w:val="008D09F6"/>
    <w:rsid w:val="008D0E80"/>
    <w:rsid w:val="008D1146"/>
    <w:rsid w:val="008D1320"/>
    <w:rsid w:val="008D1486"/>
    <w:rsid w:val="008D1521"/>
    <w:rsid w:val="008D19E8"/>
    <w:rsid w:val="008D24A4"/>
    <w:rsid w:val="008D257A"/>
    <w:rsid w:val="008D261F"/>
    <w:rsid w:val="008D2770"/>
    <w:rsid w:val="008D2913"/>
    <w:rsid w:val="008D330E"/>
    <w:rsid w:val="008D3424"/>
    <w:rsid w:val="008D3506"/>
    <w:rsid w:val="008D379B"/>
    <w:rsid w:val="008D3831"/>
    <w:rsid w:val="008D4296"/>
    <w:rsid w:val="008D4C7F"/>
    <w:rsid w:val="008D517B"/>
    <w:rsid w:val="008D55B9"/>
    <w:rsid w:val="008D56E1"/>
    <w:rsid w:val="008D58BE"/>
    <w:rsid w:val="008D5B72"/>
    <w:rsid w:val="008D5E5C"/>
    <w:rsid w:val="008D625E"/>
    <w:rsid w:val="008D667A"/>
    <w:rsid w:val="008D6822"/>
    <w:rsid w:val="008D6B33"/>
    <w:rsid w:val="008D77D4"/>
    <w:rsid w:val="008D7BD5"/>
    <w:rsid w:val="008D7C13"/>
    <w:rsid w:val="008E042B"/>
    <w:rsid w:val="008E074A"/>
    <w:rsid w:val="008E0E8B"/>
    <w:rsid w:val="008E16EB"/>
    <w:rsid w:val="008E1B87"/>
    <w:rsid w:val="008E2163"/>
    <w:rsid w:val="008E22D9"/>
    <w:rsid w:val="008E242F"/>
    <w:rsid w:val="008E260F"/>
    <w:rsid w:val="008E2B51"/>
    <w:rsid w:val="008E2C77"/>
    <w:rsid w:val="008E2D6E"/>
    <w:rsid w:val="008E2FB9"/>
    <w:rsid w:val="008E326E"/>
    <w:rsid w:val="008E369B"/>
    <w:rsid w:val="008E3A28"/>
    <w:rsid w:val="008E3FA8"/>
    <w:rsid w:val="008E419A"/>
    <w:rsid w:val="008E442B"/>
    <w:rsid w:val="008E483F"/>
    <w:rsid w:val="008E495E"/>
    <w:rsid w:val="008E5166"/>
    <w:rsid w:val="008E5501"/>
    <w:rsid w:val="008E5CEE"/>
    <w:rsid w:val="008E61AA"/>
    <w:rsid w:val="008E6381"/>
    <w:rsid w:val="008E6495"/>
    <w:rsid w:val="008E6694"/>
    <w:rsid w:val="008E6CA4"/>
    <w:rsid w:val="008E6E58"/>
    <w:rsid w:val="008E70DD"/>
    <w:rsid w:val="008E7211"/>
    <w:rsid w:val="008E7E94"/>
    <w:rsid w:val="008E7EBC"/>
    <w:rsid w:val="008F00C5"/>
    <w:rsid w:val="008F01F3"/>
    <w:rsid w:val="008F0653"/>
    <w:rsid w:val="008F09C4"/>
    <w:rsid w:val="008F0A1C"/>
    <w:rsid w:val="008F0BE6"/>
    <w:rsid w:val="008F0C24"/>
    <w:rsid w:val="008F0CC2"/>
    <w:rsid w:val="008F12AA"/>
    <w:rsid w:val="008F151E"/>
    <w:rsid w:val="008F2205"/>
    <w:rsid w:val="008F2261"/>
    <w:rsid w:val="008F2F93"/>
    <w:rsid w:val="008F321F"/>
    <w:rsid w:val="008F3611"/>
    <w:rsid w:val="008F39A3"/>
    <w:rsid w:val="008F3AC0"/>
    <w:rsid w:val="008F419D"/>
    <w:rsid w:val="008F4519"/>
    <w:rsid w:val="008F4871"/>
    <w:rsid w:val="008F4A4F"/>
    <w:rsid w:val="008F4DD7"/>
    <w:rsid w:val="008F5124"/>
    <w:rsid w:val="008F5829"/>
    <w:rsid w:val="008F58E9"/>
    <w:rsid w:val="008F596B"/>
    <w:rsid w:val="008F5E7D"/>
    <w:rsid w:val="008F5FF9"/>
    <w:rsid w:val="008F6196"/>
    <w:rsid w:val="008F63DD"/>
    <w:rsid w:val="008F67FC"/>
    <w:rsid w:val="008F6ED3"/>
    <w:rsid w:val="008F7282"/>
    <w:rsid w:val="008F72CB"/>
    <w:rsid w:val="008F7CA1"/>
    <w:rsid w:val="008F7E46"/>
    <w:rsid w:val="008F7FC6"/>
    <w:rsid w:val="00900297"/>
    <w:rsid w:val="009004A0"/>
    <w:rsid w:val="0090064F"/>
    <w:rsid w:val="00900841"/>
    <w:rsid w:val="00900910"/>
    <w:rsid w:val="00900A2A"/>
    <w:rsid w:val="00900DDB"/>
    <w:rsid w:val="00900E46"/>
    <w:rsid w:val="00900F0B"/>
    <w:rsid w:val="009012DC"/>
    <w:rsid w:val="00901BA9"/>
    <w:rsid w:val="00901CDE"/>
    <w:rsid w:val="00901CE6"/>
    <w:rsid w:val="00901F1E"/>
    <w:rsid w:val="0090201F"/>
    <w:rsid w:val="009020A3"/>
    <w:rsid w:val="00902886"/>
    <w:rsid w:val="00902F82"/>
    <w:rsid w:val="009036BC"/>
    <w:rsid w:val="00903AAE"/>
    <w:rsid w:val="009042E8"/>
    <w:rsid w:val="009045D0"/>
    <w:rsid w:val="00904657"/>
    <w:rsid w:val="009046AD"/>
    <w:rsid w:val="009047D2"/>
    <w:rsid w:val="00904829"/>
    <w:rsid w:val="00904E12"/>
    <w:rsid w:val="00904EFF"/>
    <w:rsid w:val="00904FE4"/>
    <w:rsid w:val="00905073"/>
    <w:rsid w:val="00905483"/>
    <w:rsid w:val="009054F4"/>
    <w:rsid w:val="009056A6"/>
    <w:rsid w:val="009056B2"/>
    <w:rsid w:val="00905C41"/>
    <w:rsid w:val="00906017"/>
    <w:rsid w:val="00906757"/>
    <w:rsid w:val="00906830"/>
    <w:rsid w:val="0090685D"/>
    <w:rsid w:val="00906F19"/>
    <w:rsid w:val="00906FF5"/>
    <w:rsid w:val="00907998"/>
    <w:rsid w:val="00907D3B"/>
    <w:rsid w:val="00910018"/>
    <w:rsid w:val="00910195"/>
    <w:rsid w:val="00910474"/>
    <w:rsid w:val="00910828"/>
    <w:rsid w:val="00910946"/>
    <w:rsid w:val="009111C7"/>
    <w:rsid w:val="00911563"/>
    <w:rsid w:val="00911699"/>
    <w:rsid w:val="00911C83"/>
    <w:rsid w:val="00911FDD"/>
    <w:rsid w:val="009121FC"/>
    <w:rsid w:val="009125DC"/>
    <w:rsid w:val="00912624"/>
    <w:rsid w:val="00912B48"/>
    <w:rsid w:val="00912DBA"/>
    <w:rsid w:val="00912F6D"/>
    <w:rsid w:val="009135EC"/>
    <w:rsid w:val="009136FD"/>
    <w:rsid w:val="00913725"/>
    <w:rsid w:val="009137DB"/>
    <w:rsid w:val="00913977"/>
    <w:rsid w:val="009139C5"/>
    <w:rsid w:val="009140AF"/>
    <w:rsid w:val="00914BD4"/>
    <w:rsid w:val="00914C8E"/>
    <w:rsid w:val="009151EE"/>
    <w:rsid w:val="009153B3"/>
    <w:rsid w:val="00916619"/>
    <w:rsid w:val="009167BA"/>
    <w:rsid w:val="00916AF0"/>
    <w:rsid w:val="00916D2C"/>
    <w:rsid w:val="00917160"/>
    <w:rsid w:val="00917916"/>
    <w:rsid w:val="0091792A"/>
    <w:rsid w:val="00917967"/>
    <w:rsid w:val="00917B80"/>
    <w:rsid w:val="00920073"/>
    <w:rsid w:val="009202F9"/>
    <w:rsid w:val="0092045D"/>
    <w:rsid w:val="0092071D"/>
    <w:rsid w:val="00920AAE"/>
    <w:rsid w:val="00920B35"/>
    <w:rsid w:val="00920B94"/>
    <w:rsid w:val="00920F75"/>
    <w:rsid w:val="0092101B"/>
    <w:rsid w:val="0092102E"/>
    <w:rsid w:val="00921361"/>
    <w:rsid w:val="0092153E"/>
    <w:rsid w:val="009216A4"/>
    <w:rsid w:val="00922675"/>
    <w:rsid w:val="00922DD8"/>
    <w:rsid w:val="00923032"/>
    <w:rsid w:val="009236AB"/>
    <w:rsid w:val="00923843"/>
    <w:rsid w:val="009241EF"/>
    <w:rsid w:val="00924210"/>
    <w:rsid w:val="00924246"/>
    <w:rsid w:val="0092426D"/>
    <w:rsid w:val="00924518"/>
    <w:rsid w:val="00924552"/>
    <w:rsid w:val="00924557"/>
    <w:rsid w:val="00924736"/>
    <w:rsid w:val="00924D98"/>
    <w:rsid w:val="00924ED1"/>
    <w:rsid w:val="00924FC1"/>
    <w:rsid w:val="0092577E"/>
    <w:rsid w:val="009257F5"/>
    <w:rsid w:val="00925B9B"/>
    <w:rsid w:val="00925C03"/>
    <w:rsid w:val="009260EB"/>
    <w:rsid w:val="009262D4"/>
    <w:rsid w:val="0092630B"/>
    <w:rsid w:val="0092640C"/>
    <w:rsid w:val="009264F3"/>
    <w:rsid w:val="009267DB"/>
    <w:rsid w:val="00926A2B"/>
    <w:rsid w:val="00926F71"/>
    <w:rsid w:val="00927885"/>
    <w:rsid w:val="00927E4C"/>
    <w:rsid w:val="0093018A"/>
    <w:rsid w:val="0093054C"/>
    <w:rsid w:val="0093072C"/>
    <w:rsid w:val="00930912"/>
    <w:rsid w:val="00930F00"/>
    <w:rsid w:val="00930FA4"/>
    <w:rsid w:val="009314A0"/>
    <w:rsid w:val="00931CC8"/>
    <w:rsid w:val="0093214E"/>
    <w:rsid w:val="00932205"/>
    <w:rsid w:val="009324A2"/>
    <w:rsid w:val="009324D0"/>
    <w:rsid w:val="0093268E"/>
    <w:rsid w:val="0093269E"/>
    <w:rsid w:val="009326F8"/>
    <w:rsid w:val="0093342B"/>
    <w:rsid w:val="00933522"/>
    <w:rsid w:val="00933747"/>
    <w:rsid w:val="00933835"/>
    <w:rsid w:val="009338E0"/>
    <w:rsid w:val="00933E26"/>
    <w:rsid w:val="00934D1B"/>
    <w:rsid w:val="00934D87"/>
    <w:rsid w:val="00935313"/>
    <w:rsid w:val="0093537B"/>
    <w:rsid w:val="00935834"/>
    <w:rsid w:val="009358D8"/>
    <w:rsid w:val="0093593F"/>
    <w:rsid w:val="00935A98"/>
    <w:rsid w:val="00935C3A"/>
    <w:rsid w:val="0093601E"/>
    <w:rsid w:val="00936056"/>
    <w:rsid w:val="009364C7"/>
    <w:rsid w:val="00936C87"/>
    <w:rsid w:val="00936FB3"/>
    <w:rsid w:val="00937338"/>
    <w:rsid w:val="009373EF"/>
    <w:rsid w:val="00937493"/>
    <w:rsid w:val="00937584"/>
    <w:rsid w:val="00937AD1"/>
    <w:rsid w:val="00937B6D"/>
    <w:rsid w:val="00937D4F"/>
    <w:rsid w:val="0094001A"/>
    <w:rsid w:val="009402D0"/>
    <w:rsid w:val="00940487"/>
    <w:rsid w:val="009405FA"/>
    <w:rsid w:val="00940901"/>
    <w:rsid w:val="009409F9"/>
    <w:rsid w:val="00940C81"/>
    <w:rsid w:val="00940D75"/>
    <w:rsid w:val="00940E23"/>
    <w:rsid w:val="009413F4"/>
    <w:rsid w:val="009416A8"/>
    <w:rsid w:val="0094174F"/>
    <w:rsid w:val="009419F7"/>
    <w:rsid w:val="00941C1A"/>
    <w:rsid w:val="00941D8F"/>
    <w:rsid w:val="00941E0A"/>
    <w:rsid w:val="009424B3"/>
    <w:rsid w:val="00942628"/>
    <w:rsid w:val="00942E48"/>
    <w:rsid w:val="009430CD"/>
    <w:rsid w:val="009430D7"/>
    <w:rsid w:val="009430FA"/>
    <w:rsid w:val="00943D32"/>
    <w:rsid w:val="009442C8"/>
    <w:rsid w:val="00944C8A"/>
    <w:rsid w:val="00945324"/>
    <w:rsid w:val="009455F4"/>
    <w:rsid w:val="00945772"/>
    <w:rsid w:val="009459F7"/>
    <w:rsid w:val="00945AB9"/>
    <w:rsid w:val="00945F7A"/>
    <w:rsid w:val="009460CE"/>
    <w:rsid w:val="009461A3"/>
    <w:rsid w:val="009465F5"/>
    <w:rsid w:val="00946A07"/>
    <w:rsid w:val="00946E1E"/>
    <w:rsid w:val="0094774F"/>
    <w:rsid w:val="009477D7"/>
    <w:rsid w:val="00950006"/>
    <w:rsid w:val="0095004F"/>
    <w:rsid w:val="00950C1D"/>
    <w:rsid w:val="00950F2F"/>
    <w:rsid w:val="0095109B"/>
    <w:rsid w:val="009512C6"/>
    <w:rsid w:val="009515F3"/>
    <w:rsid w:val="00951713"/>
    <w:rsid w:val="0095186D"/>
    <w:rsid w:val="00951BC1"/>
    <w:rsid w:val="00951E45"/>
    <w:rsid w:val="0095234F"/>
    <w:rsid w:val="00952FCC"/>
    <w:rsid w:val="0095337B"/>
    <w:rsid w:val="009533DB"/>
    <w:rsid w:val="009537E8"/>
    <w:rsid w:val="00954DF9"/>
    <w:rsid w:val="0095503A"/>
    <w:rsid w:val="00955674"/>
    <w:rsid w:val="00955A27"/>
    <w:rsid w:val="009560C2"/>
    <w:rsid w:val="00956BE8"/>
    <w:rsid w:val="00956C0D"/>
    <w:rsid w:val="0095705A"/>
    <w:rsid w:val="00960620"/>
    <w:rsid w:val="00960A29"/>
    <w:rsid w:val="00960D24"/>
    <w:rsid w:val="0096149B"/>
    <w:rsid w:val="00961693"/>
    <w:rsid w:val="009616B2"/>
    <w:rsid w:val="00961927"/>
    <w:rsid w:val="00961EAD"/>
    <w:rsid w:val="00961F67"/>
    <w:rsid w:val="0096202F"/>
    <w:rsid w:val="00962695"/>
    <w:rsid w:val="00962DBF"/>
    <w:rsid w:val="00963003"/>
    <w:rsid w:val="0096399C"/>
    <w:rsid w:val="00963EDE"/>
    <w:rsid w:val="00964AB6"/>
    <w:rsid w:val="00964D75"/>
    <w:rsid w:val="009650A1"/>
    <w:rsid w:val="00965218"/>
    <w:rsid w:val="0096557D"/>
    <w:rsid w:val="00966864"/>
    <w:rsid w:val="00966B8F"/>
    <w:rsid w:val="00966C86"/>
    <w:rsid w:val="00966ED5"/>
    <w:rsid w:val="009670A2"/>
    <w:rsid w:val="00967199"/>
    <w:rsid w:val="00967350"/>
    <w:rsid w:val="0096735C"/>
    <w:rsid w:val="00967D22"/>
    <w:rsid w:val="00967FEF"/>
    <w:rsid w:val="00970319"/>
    <w:rsid w:val="0097047B"/>
    <w:rsid w:val="00970623"/>
    <w:rsid w:val="00970649"/>
    <w:rsid w:val="00970BE7"/>
    <w:rsid w:val="009712F4"/>
    <w:rsid w:val="00971390"/>
    <w:rsid w:val="00972063"/>
    <w:rsid w:val="00972EA8"/>
    <w:rsid w:val="00972FF5"/>
    <w:rsid w:val="00973108"/>
    <w:rsid w:val="009733D5"/>
    <w:rsid w:val="009742B4"/>
    <w:rsid w:val="0097449E"/>
    <w:rsid w:val="009746F2"/>
    <w:rsid w:val="00974704"/>
    <w:rsid w:val="009747BF"/>
    <w:rsid w:val="00974914"/>
    <w:rsid w:val="00974D14"/>
    <w:rsid w:val="00974E56"/>
    <w:rsid w:val="00974E8D"/>
    <w:rsid w:val="0097569B"/>
    <w:rsid w:val="00975D0D"/>
    <w:rsid w:val="00975E0D"/>
    <w:rsid w:val="00976710"/>
    <w:rsid w:val="00976E18"/>
    <w:rsid w:val="00976EA9"/>
    <w:rsid w:val="00977AC1"/>
    <w:rsid w:val="00977E3E"/>
    <w:rsid w:val="009800C2"/>
    <w:rsid w:val="00980471"/>
    <w:rsid w:val="00980645"/>
    <w:rsid w:val="00980791"/>
    <w:rsid w:val="009810CB"/>
    <w:rsid w:val="009816B9"/>
    <w:rsid w:val="00982112"/>
    <w:rsid w:val="00982C0C"/>
    <w:rsid w:val="00982DD2"/>
    <w:rsid w:val="00982E04"/>
    <w:rsid w:val="00982E20"/>
    <w:rsid w:val="00983376"/>
    <w:rsid w:val="0098344C"/>
    <w:rsid w:val="009836C8"/>
    <w:rsid w:val="00983884"/>
    <w:rsid w:val="009838C1"/>
    <w:rsid w:val="0098391A"/>
    <w:rsid w:val="00983971"/>
    <w:rsid w:val="00983C67"/>
    <w:rsid w:val="00984302"/>
    <w:rsid w:val="009843B2"/>
    <w:rsid w:val="00984422"/>
    <w:rsid w:val="00984673"/>
    <w:rsid w:val="00985325"/>
    <w:rsid w:val="0098537D"/>
    <w:rsid w:val="0098584E"/>
    <w:rsid w:val="00985893"/>
    <w:rsid w:val="00985D0C"/>
    <w:rsid w:val="009860A7"/>
    <w:rsid w:val="009861BE"/>
    <w:rsid w:val="009861F3"/>
    <w:rsid w:val="009864CE"/>
    <w:rsid w:val="00986886"/>
    <w:rsid w:val="00987BCD"/>
    <w:rsid w:val="00987E37"/>
    <w:rsid w:val="00987FD4"/>
    <w:rsid w:val="00990185"/>
    <w:rsid w:val="00990A31"/>
    <w:rsid w:val="00990CE8"/>
    <w:rsid w:val="0099121B"/>
    <w:rsid w:val="009916B4"/>
    <w:rsid w:val="00991994"/>
    <w:rsid w:val="00991A77"/>
    <w:rsid w:val="009922B1"/>
    <w:rsid w:val="00992619"/>
    <w:rsid w:val="0099264F"/>
    <w:rsid w:val="00992A51"/>
    <w:rsid w:val="00992A6D"/>
    <w:rsid w:val="00992BE0"/>
    <w:rsid w:val="00992C79"/>
    <w:rsid w:val="00992D7F"/>
    <w:rsid w:val="0099346D"/>
    <w:rsid w:val="009936DB"/>
    <w:rsid w:val="00993856"/>
    <w:rsid w:val="009938A6"/>
    <w:rsid w:val="00993BEC"/>
    <w:rsid w:val="00993C94"/>
    <w:rsid w:val="00993DC2"/>
    <w:rsid w:val="00993F00"/>
    <w:rsid w:val="00994007"/>
    <w:rsid w:val="00994068"/>
    <w:rsid w:val="00994309"/>
    <w:rsid w:val="00994351"/>
    <w:rsid w:val="0099466A"/>
    <w:rsid w:val="00994B06"/>
    <w:rsid w:val="00994B8B"/>
    <w:rsid w:val="00994D04"/>
    <w:rsid w:val="00994DBE"/>
    <w:rsid w:val="009954AD"/>
    <w:rsid w:val="00995AEC"/>
    <w:rsid w:val="00995BB3"/>
    <w:rsid w:val="00995CEE"/>
    <w:rsid w:val="00995EA8"/>
    <w:rsid w:val="00995F43"/>
    <w:rsid w:val="0099602D"/>
    <w:rsid w:val="00996148"/>
    <w:rsid w:val="00996A06"/>
    <w:rsid w:val="00996C41"/>
    <w:rsid w:val="00996CFA"/>
    <w:rsid w:val="00996DEA"/>
    <w:rsid w:val="00997158"/>
    <w:rsid w:val="0099731D"/>
    <w:rsid w:val="00997339"/>
    <w:rsid w:val="0099749E"/>
    <w:rsid w:val="00997AC9"/>
    <w:rsid w:val="00997BC4"/>
    <w:rsid w:val="009A000A"/>
    <w:rsid w:val="009A03FE"/>
    <w:rsid w:val="009A07ED"/>
    <w:rsid w:val="009A0F9E"/>
    <w:rsid w:val="009A115E"/>
    <w:rsid w:val="009A152B"/>
    <w:rsid w:val="009A1620"/>
    <w:rsid w:val="009A17D6"/>
    <w:rsid w:val="009A1D43"/>
    <w:rsid w:val="009A1D51"/>
    <w:rsid w:val="009A1DFB"/>
    <w:rsid w:val="009A1F3E"/>
    <w:rsid w:val="009A21C7"/>
    <w:rsid w:val="009A32CC"/>
    <w:rsid w:val="009A3C99"/>
    <w:rsid w:val="009A3E7D"/>
    <w:rsid w:val="009A3FFA"/>
    <w:rsid w:val="009A4003"/>
    <w:rsid w:val="009A45AC"/>
    <w:rsid w:val="009A4C40"/>
    <w:rsid w:val="009A4FEB"/>
    <w:rsid w:val="009A5554"/>
    <w:rsid w:val="009A6156"/>
    <w:rsid w:val="009A63E7"/>
    <w:rsid w:val="009A68D8"/>
    <w:rsid w:val="009A6CD5"/>
    <w:rsid w:val="009A6E78"/>
    <w:rsid w:val="009A6EA3"/>
    <w:rsid w:val="009A6FFA"/>
    <w:rsid w:val="009A74B9"/>
    <w:rsid w:val="009A7959"/>
    <w:rsid w:val="009B05E4"/>
    <w:rsid w:val="009B0C31"/>
    <w:rsid w:val="009B0DDD"/>
    <w:rsid w:val="009B13EE"/>
    <w:rsid w:val="009B1753"/>
    <w:rsid w:val="009B175D"/>
    <w:rsid w:val="009B1C9E"/>
    <w:rsid w:val="009B1E1F"/>
    <w:rsid w:val="009B21FB"/>
    <w:rsid w:val="009B2568"/>
    <w:rsid w:val="009B2A6C"/>
    <w:rsid w:val="009B2CB8"/>
    <w:rsid w:val="009B2E9C"/>
    <w:rsid w:val="009B310B"/>
    <w:rsid w:val="009B3116"/>
    <w:rsid w:val="009B3558"/>
    <w:rsid w:val="009B3947"/>
    <w:rsid w:val="009B3AD8"/>
    <w:rsid w:val="009B3D87"/>
    <w:rsid w:val="009B3FB4"/>
    <w:rsid w:val="009B4558"/>
    <w:rsid w:val="009B46A2"/>
    <w:rsid w:val="009B4C59"/>
    <w:rsid w:val="009B4FB8"/>
    <w:rsid w:val="009B5126"/>
    <w:rsid w:val="009B555C"/>
    <w:rsid w:val="009B55B3"/>
    <w:rsid w:val="009B57FE"/>
    <w:rsid w:val="009B58FC"/>
    <w:rsid w:val="009B597C"/>
    <w:rsid w:val="009B5B54"/>
    <w:rsid w:val="009B5C8C"/>
    <w:rsid w:val="009B60F0"/>
    <w:rsid w:val="009B61EF"/>
    <w:rsid w:val="009B66EC"/>
    <w:rsid w:val="009B6B32"/>
    <w:rsid w:val="009B6C1A"/>
    <w:rsid w:val="009B6CDE"/>
    <w:rsid w:val="009B6EF1"/>
    <w:rsid w:val="009B6F44"/>
    <w:rsid w:val="009B738D"/>
    <w:rsid w:val="009B7766"/>
    <w:rsid w:val="009B7847"/>
    <w:rsid w:val="009B7B90"/>
    <w:rsid w:val="009B7CF3"/>
    <w:rsid w:val="009C03C5"/>
    <w:rsid w:val="009C0A8C"/>
    <w:rsid w:val="009C0F0D"/>
    <w:rsid w:val="009C0FAB"/>
    <w:rsid w:val="009C0FCB"/>
    <w:rsid w:val="009C1530"/>
    <w:rsid w:val="009C1ABE"/>
    <w:rsid w:val="009C1DED"/>
    <w:rsid w:val="009C2454"/>
    <w:rsid w:val="009C2A2F"/>
    <w:rsid w:val="009C2F0B"/>
    <w:rsid w:val="009C2FBF"/>
    <w:rsid w:val="009C3378"/>
    <w:rsid w:val="009C3FB1"/>
    <w:rsid w:val="009C3FC2"/>
    <w:rsid w:val="009C4780"/>
    <w:rsid w:val="009C4FF4"/>
    <w:rsid w:val="009C5072"/>
    <w:rsid w:val="009C51D1"/>
    <w:rsid w:val="009C526D"/>
    <w:rsid w:val="009C54BC"/>
    <w:rsid w:val="009C5592"/>
    <w:rsid w:val="009C5917"/>
    <w:rsid w:val="009C601E"/>
    <w:rsid w:val="009C612A"/>
    <w:rsid w:val="009C659E"/>
    <w:rsid w:val="009C740D"/>
    <w:rsid w:val="009C76AC"/>
    <w:rsid w:val="009C778F"/>
    <w:rsid w:val="009C7D6A"/>
    <w:rsid w:val="009C7DA6"/>
    <w:rsid w:val="009C7F84"/>
    <w:rsid w:val="009C7F9E"/>
    <w:rsid w:val="009D0A78"/>
    <w:rsid w:val="009D0AD5"/>
    <w:rsid w:val="009D0C87"/>
    <w:rsid w:val="009D0F93"/>
    <w:rsid w:val="009D1577"/>
    <w:rsid w:val="009D1A71"/>
    <w:rsid w:val="009D2082"/>
    <w:rsid w:val="009D20C5"/>
    <w:rsid w:val="009D21C7"/>
    <w:rsid w:val="009D270D"/>
    <w:rsid w:val="009D2A5A"/>
    <w:rsid w:val="009D2EC0"/>
    <w:rsid w:val="009D2F58"/>
    <w:rsid w:val="009D2F9E"/>
    <w:rsid w:val="009D30DB"/>
    <w:rsid w:val="009D3133"/>
    <w:rsid w:val="009D316F"/>
    <w:rsid w:val="009D323C"/>
    <w:rsid w:val="009D35D7"/>
    <w:rsid w:val="009D3977"/>
    <w:rsid w:val="009D3AB1"/>
    <w:rsid w:val="009D42CA"/>
    <w:rsid w:val="009D444A"/>
    <w:rsid w:val="009D44EC"/>
    <w:rsid w:val="009D457E"/>
    <w:rsid w:val="009D4718"/>
    <w:rsid w:val="009D4794"/>
    <w:rsid w:val="009D491A"/>
    <w:rsid w:val="009D491C"/>
    <w:rsid w:val="009D492A"/>
    <w:rsid w:val="009D4B65"/>
    <w:rsid w:val="009D4EB2"/>
    <w:rsid w:val="009D505A"/>
    <w:rsid w:val="009D5692"/>
    <w:rsid w:val="009D5931"/>
    <w:rsid w:val="009D5B31"/>
    <w:rsid w:val="009D5BB0"/>
    <w:rsid w:val="009D5C33"/>
    <w:rsid w:val="009D6030"/>
    <w:rsid w:val="009D63A5"/>
    <w:rsid w:val="009D6428"/>
    <w:rsid w:val="009D686F"/>
    <w:rsid w:val="009D6CFA"/>
    <w:rsid w:val="009D715F"/>
    <w:rsid w:val="009D7165"/>
    <w:rsid w:val="009D718A"/>
    <w:rsid w:val="009D757E"/>
    <w:rsid w:val="009D77F2"/>
    <w:rsid w:val="009D7966"/>
    <w:rsid w:val="009D7D27"/>
    <w:rsid w:val="009E0099"/>
    <w:rsid w:val="009E0522"/>
    <w:rsid w:val="009E10DB"/>
    <w:rsid w:val="009E14D1"/>
    <w:rsid w:val="009E1740"/>
    <w:rsid w:val="009E197E"/>
    <w:rsid w:val="009E1CCA"/>
    <w:rsid w:val="009E1D1D"/>
    <w:rsid w:val="009E21FB"/>
    <w:rsid w:val="009E22F9"/>
    <w:rsid w:val="009E2AA6"/>
    <w:rsid w:val="009E3795"/>
    <w:rsid w:val="009E37F7"/>
    <w:rsid w:val="009E3A4A"/>
    <w:rsid w:val="009E3AAB"/>
    <w:rsid w:val="009E3ABA"/>
    <w:rsid w:val="009E3B62"/>
    <w:rsid w:val="009E3BA4"/>
    <w:rsid w:val="009E44C6"/>
    <w:rsid w:val="009E45D7"/>
    <w:rsid w:val="009E48F2"/>
    <w:rsid w:val="009E50DF"/>
    <w:rsid w:val="009E53F0"/>
    <w:rsid w:val="009E54AE"/>
    <w:rsid w:val="009E564C"/>
    <w:rsid w:val="009E5E47"/>
    <w:rsid w:val="009E60A6"/>
    <w:rsid w:val="009E641D"/>
    <w:rsid w:val="009E6D6B"/>
    <w:rsid w:val="009E70E7"/>
    <w:rsid w:val="009E77D6"/>
    <w:rsid w:val="009E7D45"/>
    <w:rsid w:val="009F0BDC"/>
    <w:rsid w:val="009F104D"/>
    <w:rsid w:val="009F1204"/>
    <w:rsid w:val="009F120C"/>
    <w:rsid w:val="009F1492"/>
    <w:rsid w:val="009F2CD6"/>
    <w:rsid w:val="009F2FC7"/>
    <w:rsid w:val="009F2FD2"/>
    <w:rsid w:val="009F3351"/>
    <w:rsid w:val="009F3A31"/>
    <w:rsid w:val="009F433F"/>
    <w:rsid w:val="009F496E"/>
    <w:rsid w:val="009F4D2E"/>
    <w:rsid w:val="009F4D7F"/>
    <w:rsid w:val="009F5464"/>
    <w:rsid w:val="009F5554"/>
    <w:rsid w:val="009F55D6"/>
    <w:rsid w:val="009F56C0"/>
    <w:rsid w:val="009F570C"/>
    <w:rsid w:val="009F580D"/>
    <w:rsid w:val="009F623F"/>
    <w:rsid w:val="009F650F"/>
    <w:rsid w:val="009F684C"/>
    <w:rsid w:val="009F6AF9"/>
    <w:rsid w:val="009F7049"/>
    <w:rsid w:val="009F74F4"/>
    <w:rsid w:val="009F78BC"/>
    <w:rsid w:val="009F7AAD"/>
    <w:rsid w:val="00A001D3"/>
    <w:rsid w:val="00A003A0"/>
    <w:rsid w:val="00A0069A"/>
    <w:rsid w:val="00A00CD1"/>
    <w:rsid w:val="00A010FC"/>
    <w:rsid w:val="00A01C3F"/>
    <w:rsid w:val="00A01E60"/>
    <w:rsid w:val="00A01EC5"/>
    <w:rsid w:val="00A01F7D"/>
    <w:rsid w:val="00A0264D"/>
    <w:rsid w:val="00A02BD0"/>
    <w:rsid w:val="00A02BF7"/>
    <w:rsid w:val="00A02C8C"/>
    <w:rsid w:val="00A0336A"/>
    <w:rsid w:val="00A034D3"/>
    <w:rsid w:val="00A038CC"/>
    <w:rsid w:val="00A03E33"/>
    <w:rsid w:val="00A04AFD"/>
    <w:rsid w:val="00A04F0C"/>
    <w:rsid w:val="00A05939"/>
    <w:rsid w:val="00A05A8B"/>
    <w:rsid w:val="00A05C12"/>
    <w:rsid w:val="00A067B8"/>
    <w:rsid w:val="00A06C37"/>
    <w:rsid w:val="00A06EAD"/>
    <w:rsid w:val="00A07A42"/>
    <w:rsid w:val="00A07A6B"/>
    <w:rsid w:val="00A07B45"/>
    <w:rsid w:val="00A07F46"/>
    <w:rsid w:val="00A10019"/>
    <w:rsid w:val="00A1011E"/>
    <w:rsid w:val="00A10257"/>
    <w:rsid w:val="00A1035A"/>
    <w:rsid w:val="00A104D9"/>
    <w:rsid w:val="00A106BD"/>
    <w:rsid w:val="00A10D2E"/>
    <w:rsid w:val="00A10E06"/>
    <w:rsid w:val="00A11502"/>
    <w:rsid w:val="00A116E0"/>
    <w:rsid w:val="00A11A08"/>
    <w:rsid w:val="00A11B31"/>
    <w:rsid w:val="00A11B67"/>
    <w:rsid w:val="00A11BBC"/>
    <w:rsid w:val="00A1267F"/>
    <w:rsid w:val="00A12DAF"/>
    <w:rsid w:val="00A12DFA"/>
    <w:rsid w:val="00A130A1"/>
    <w:rsid w:val="00A1317F"/>
    <w:rsid w:val="00A1318F"/>
    <w:rsid w:val="00A13BE3"/>
    <w:rsid w:val="00A13CE2"/>
    <w:rsid w:val="00A140B2"/>
    <w:rsid w:val="00A14150"/>
    <w:rsid w:val="00A14171"/>
    <w:rsid w:val="00A14223"/>
    <w:rsid w:val="00A14243"/>
    <w:rsid w:val="00A14763"/>
    <w:rsid w:val="00A14800"/>
    <w:rsid w:val="00A14910"/>
    <w:rsid w:val="00A14EA9"/>
    <w:rsid w:val="00A15014"/>
    <w:rsid w:val="00A1519D"/>
    <w:rsid w:val="00A152F0"/>
    <w:rsid w:val="00A15802"/>
    <w:rsid w:val="00A159EC"/>
    <w:rsid w:val="00A15BDB"/>
    <w:rsid w:val="00A15F01"/>
    <w:rsid w:val="00A15F0B"/>
    <w:rsid w:val="00A15FA3"/>
    <w:rsid w:val="00A163C4"/>
    <w:rsid w:val="00A163CA"/>
    <w:rsid w:val="00A16E95"/>
    <w:rsid w:val="00A172D2"/>
    <w:rsid w:val="00A2001D"/>
    <w:rsid w:val="00A20035"/>
    <w:rsid w:val="00A201F0"/>
    <w:rsid w:val="00A201FA"/>
    <w:rsid w:val="00A208B1"/>
    <w:rsid w:val="00A20B17"/>
    <w:rsid w:val="00A21022"/>
    <w:rsid w:val="00A217A6"/>
    <w:rsid w:val="00A220A3"/>
    <w:rsid w:val="00A224F1"/>
    <w:rsid w:val="00A2266C"/>
    <w:rsid w:val="00A22E94"/>
    <w:rsid w:val="00A22F84"/>
    <w:rsid w:val="00A23755"/>
    <w:rsid w:val="00A23855"/>
    <w:rsid w:val="00A23A2B"/>
    <w:rsid w:val="00A2401B"/>
    <w:rsid w:val="00A2406D"/>
    <w:rsid w:val="00A2484B"/>
    <w:rsid w:val="00A251F9"/>
    <w:rsid w:val="00A2524B"/>
    <w:rsid w:val="00A25280"/>
    <w:rsid w:val="00A2534A"/>
    <w:rsid w:val="00A25B4B"/>
    <w:rsid w:val="00A25C27"/>
    <w:rsid w:val="00A25D4E"/>
    <w:rsid w:val="00A25D84"/>
    <w:rsid w:val="00A26247"/>
    <w:rsid w:val="00A2646F"/>
    <w:rsid w:val="00A26AB7"/>
    <w:rsid w:val="00A26C71"/>
    <w:rsid w:val="00A26C87"/>
    <w:rsid w:val="00A26CCF"/>
    <w:rsid w:val="00A26CE6"/>
    <w:rsid w:val="00A26D79"/>
    <w:rsid w:val="00A272C8"/>
    <w:rsid w:val="00A273A7"/>
    <w:rsid w:val="00A279E3"/>
    <w:rsid w:val="00A27B82"/>
    <w:rsid w:val="00A27C4E"/>
    <w:rsid w:val="00A30004"/>
    <w:rsid w:val="00A30123"/>
    <w:rsid w:val="00A3099C"/>
    <w:rsid w:val="00A30A2E"/>
    <w:rsid w:val="00A30C1D"/>
    <w:rsid w:val="00A30E71"/>
    <w:rsid w:val="00A30F8F"/>
    <w:rsid w:val="00A30FD7"/>
    <w:rsid w:val="00A31871"/>
    <w:rsid w:val="00A318BE"/>
    <w:rsid w:val="00A31C60"/>
    <w:rsid w:val="00A31EAD"/>
    <w:rsid w:val="00A32421"/>
    <w:rsid w:val="00A324E1"/>
    <w:rsid w:val="00A324E7"/>
    <w:rsid w:val="00A329F2"/>
    <w:rsid w:val="00A32A40"/>
    <w:rsid w:val="00A32D2E"/>
    <w:rsid w:val="00A336BB"/>
    <w:rsid w:val="00A3373E"/>
    <w:rsid w:val="00A338A0"/>
    <w:rsid w:val="00A34071"/>
    <w:rsid w:val="00A34401"/>
    <w:rsid w:val="00A34A1D"/>
    <w:rsid w:val="00A350B6"/>
    <w:rsid w:val="00A3559D"/>
    <w:rsid w:val="00A3585A"/>
    <w:rsid w:val="00A35968"/>
    <w:rsid w:val="00A35A51"/>
    <w:rsid w:val="00A35D81"/>
    <w:rsid w:val="00A36194"/>
    <w:rsid w:val="00A361DF"/>
    <w:rsid w:val="00A36765"/>
    <w:rsid w:val="00A36835"/>
    <w:rsid w:val="00A36B2B"/>
    <w:rsid w:val="00A36BF6"/>
    <w:rsid w:val="00A36C7A"/>
    <w:rsid w:val="00A37159"/>
    <w:rsid w:val="00A37E09"/>
    <w:rsid w:val="00A37E2C"/>
    <w:rsid w:val="00A40578"/>
    <w:rsid w:val="00A40A44"/>
    <w:rsid w:val="00A40B70"/>
    <w:rsid w:val="00A40C40"/>
    <w:rsid w:val="00A40DB9"/>
    <w:rsid w:val="00A40FB7"/>
    <w:rsid w:val="00A411A3"/>
    <w:rsid w:val="00A41246"/>
    <w:rsid w:val="00A413F4"/>
    <w:rsid w:val="00A416B4"/>
    <w:rsid w:val="00A4175B"/>
    <w:rsid w:val="00A41D51"/>
    <w:rsid w:val="00A4294E"/>
    <w:rsid w:val="00A43467"/>
    <w:rsid w:val="00A4370E"/>
    <w:rsid w:val="00A43A77"/>
    <w:rsid w:val="00A43A7A"/>
    <w:rsid w:val="00A4481B"/>
    <w:rsid w:val="00A4494F"/>
    <w:rsid w:val="00A449F2"/>
    <w:rsid w:val="00A44A55"/>
    <w:rsid w:val="00A45181"/>
    <w:rsid w:val="00A4550E"/>
    <w:rsid w:val="00A45AF4"/>
    <w:rsid w:val="00A46EE5"/>
    <w:rsid w:val="00A473B0"/>
    <w:rsid w:val="00A47516"/>
    <w:rsid w:val="00A47AC6"/>
    <w:rsid w:val="00A50D40"/>
    <w:rsid w:val="00A5119E"/>
    <w:rsid w:val="00A5124D"/>
    <w:rsid w:val="00A51400"/>
    <w:rsid w:val="00A51881"/>
    <w:rsid w:val="00A518C8"/>
    <w:rsid w:val="00A51E0A"/>
    <w:rsid w:val="00A51E4A"/>
    <w:rsid w:val="00A520C8"/>
    <w:rsid w:val="00A52439"/>
    <w:rsid w:val="00A52EB8"/>
    <w:rsid w:val="00A52F88"/>
    <w:rsid w:val="00A53177"/>
    <w:rsid w:val="00A5334A"/>
    <w:rsid w:val="00A537E2"/>
    <w:rsid w:val="00A539B2"/>
    <w:rsid w:val="00A542C7"/>
    <w:rsid w:val="00A545F9"/>
    <w:rsid w:val="00A5476F"/>
    <w:rsid w:val="00A54988"/>
    <w:rsid w:val="00A54A9D"/>
    <w:rsid w:val="00A5522B"/>
    <w:rsid w:val="00A555EE"/>
    <w:rsid w:val="00A55A44"/>
    <w:rsid w:val="00A55BF6"/>
    <w:rsid w:val="00A55E85"/>
    <w:rsid w:val="00A560D5"/>
    <w:rsid w:val="00A5611A"/>
    <w:rsid w:val="00A5653F"/>
    <w:rsid w:val="00A568BA"/>
    <w:rsid w:val="00A56C73"/>
    <w:rsid w:val="00A56D35"/>
    <w:rsid w:val="00A56E1F"/>
    <w:rsid w:val="00A57801"/>
    <w:rsid w:val="00A57F16"/>
    <w:rsid w:val="00A60238"/>
    <w:rsid w:val="00A602E1"/>
    <w:rsid w:val="00A6073E"/>
    <w:rsid w:val="00A6085B"/>
    <w:rsid w:val="00A60F08"/>
    <w:rsid w:val="00A616E1"/>
    <w:rsid w:val="00A619CF"/>
    <w:rsid w:val="00A61AE9"/>
    <w:rsid w:val="00A61CA5"/>
    <w:rsid w:val="00A620D1"/>
    <w:rsid w:val="00A632FD"/>
    <w:rsid w:val="00A63388"/>
    <w:rsid w:val="00A635A0"/>
    <w:rsid w:val="00A637D8"/>
    <w:rsid w:val="00A6393C"/>
    <w:rsid w:val="00A63A68"/>
    <w:rsid w:val="00A63DD2"/>
    <w:rsid w:val="00A63E05"/>
    <w:rsid w:val="00A64143"/>
    <w:rsid w:val="00A64387"/>
    <w:rsid w:val="00A6439F"/>
    <w:rsid w:val="00A6467E"/>
    <w:rsid w:val="00A647F7"/>
    <w:rsid w:val="00A6521E"/>
    <w:rsid w:val="00A6561E"/>
    <w:rsid w:val="00A657F0"/>
    <w:rsid w:val="00A65903"/>
    <w:rsid w:val="00A65B42"/>
    <w:rsid w:val="00A66016"/>
    <w:rsid w:val="00A6607B"/>
    <w:rsid w:val="00A6664A"/>
    <w:rsid w:val="00A66753"/>
    <w:rsid w:val="00A66756"/>
    <w:rsid w:val="00A66B3B"/>
    <w:rsid w:val="00A66C05"/>
    <w:rsid w:val="00A672A8"/>
    <w:rsid w:val="00A6765C"/>
    <w:rsid w:val="00A677BD"/>
    <w:rsid w:val="00A67AB6"/>
    <w:rsid w:val="00A705C6"/>
    <w:rsid w:val="00A70744"/>
    <w:rsid w:val="00A71121"/>
    <w:rsid w:val="00A715EB"/>
    <w:rsid w:val="00A71D3C"/>
    <w:rsid w:val="00A7203E"/>
    <w:rsid w:val="00A72774"/>
    <w:rsid w:val="00A727D8"/>
    <w:rsid w:val="00A72BC7"/>
    <w:rsid w:val="00A72D1C"/>
    <w:rsid w:val="00A72F07"/>
    <w:rsid w:val="00A72F90"/>
    <w:rsid w:val="00A73211"/>
    <w:rsid w:val="00A7326B"/>
    <w:rsid w:val="00A7332C"/>
    <w:rsid w:val="00A73B41"/>
    <w:rsid w:val="00A73EFC"/>
    <w:rsid w:val="00A742DB"/>
    <w:rsid w:val="00A7449E"/>
    <w:rsid w:val="00A74787"/>
    <w:rsid w:val="00A74995"/>
    <w:rsid w:val="00A74DA0"/>
    <w:rsid w:val="00A74E66"/>
    <w:rsid w:val="00A752B1"/>
    <w:rsid w:val="00A75329"/>
    <w:rsid w:val="00A7539C"/>
    <w:rsid w:val="00A7591D"/>
    <w:rsid w:val="00A75B98"/>
    <w:rsid w:val="00A7600F"/>
    <w:rsid w:val="00A760AE"/>
    <w:rsid w:val="00A761B6"/>
    <w:rsid w:val="00A76206"/>
    <w:rsid w:val="00A766CA"/>
    <w:rsid w:val="00A7679C"/>
    <w:rsid w:val="00A767F8"/>
    <w:rsid w:val="00A76BDF"/>
    <w:rsid w:val="00A77172"/>
    <w:rsid w:val="00A77802"/>
    <w:rsid w:val="00A77A2F"/>
    <w:rsid w:val="00A77C0D"/>
    <w:rsid w:val="00A807BE"/>
    <w:rsid w:val="00A80DD2"/>
    <w:rsid w:val="00A80F79"/>
    <w:rsid w:val="00A81224"/>
    <w:rsid w:val="00A81366"/>
    <w:rsid w:val="00A81A1F"/>
    <w:rsid w:val="00A81A7C"/>
    <w:rsid w:val="00A81F81"/>
    <w:rsid w:val="00A82250"/>
    <w:rsid w:val="00A82619"/>
    <w:rsid w:val="00A8265C"/>
    <w:rsid w:val="00A82760"/>
    <w:rsid w:val="00A82A55"/>
    <w:rsid w:val="00A82C23"/>
    <w:rsid w:val="00A83062"/>
    <w:rsid w:val="00A837C5"/>
    <w:rsid w:val="00A83952"/>
    <w:rsid w:val="00A843B7"/>
    <w:rsid w:val="00A8489E"/>
    <w:rsid w:val="00A84C5B"/>
    <w:rsid w:val="00A85BC3"/>
    <w:rsid w:val="00A85C37"/>
    <w:rsid w:val="00A85EBC"/>
    <w:rsid w:val="00A85F55"/>
    <w:rsid w:val="00A8611B"/>
    <w:rsid w:val="00A8617F"/>
    <w:rsid w:val="00A86189"/>
    <w:rsid w:val="00A865DA"/>
    <w:rsid w:val="00A86870"/>
    <w:rsid w:val="00A86C23"/>
    <w:rsid w:val="00A86DF5"/>
    <w:rsid w:val="00A870CF"/>
    <w:rsid w:val="00A878D5"/>
    <w:rsid w:val="00A87F55"/>
    <w:rsid w:val="00A90128"/>
    <w:rsid w:val="00A90577"/>
    <w:rsid w:val="00A905B1"/>
    <w:rsid w:val="00A90CFF"/>
    <w:rsid w:val="00A91059"/>
    <w:rsid w:val="00A91437"/>
    <w:rsid w:val="00A918BF"/>
    <w:rsid w:val="00A91DB1"/>
    <w:rsid w:val="00A92035"/>
    <w:rsid w:val="00A92297"/>
    <w:rsid w:val="00A9243D"/>
    <w:rsid w:val="00A92786"/>
    <w:rsid w:val="00A933D6"/>
    <w:rsid w:val="00A93AC4"/>
    <w:rsid w:val="00A9450C"/>
    <w:rsid w:val="00A94779"/>
    <w:rsid w:val="00A947D7"/>
    <w:rsid w:val="00A94DA3"/>
    <w:rsid w:val="00A94F13"/>
    <w:rsid w:val="00A950AD"/>
    <w:rsid w:val="00A95259"/>
    <w:rsid w:val="00A953EB"/>
    <w:rsid w:val="00A953EE"/>
    <w:rsid w:val="00A954D7"/>
    <w:rsid w:val="00A9570E"/>
    <w:rsid w:val="00A95792"/>
    <w:rsid w:val="00A95DCF"/>
    <w:rsid w:val="00A95E0A"/>
    <w:rsid w:val="00A95E2C"/>
    <w:rsid w:val="00A9625B"/>
    <w:rsid w:val="00A963B6"/>
    <w:rsid w:val="00A96970"/>
    <w:rsid w:val="00A97B02"/>
    <w:rsid w:val="00AA01FE"/>
    <w:rsid w:val="00AA024B"/>
    <w:rsid w:val="00AA03F6"/>
    <w:rsid w:val="00AA0C47"/>
    <w:rsid w:val="00AA0EBD"/>
    <w:rsid w:val="00AA123F"/>
    <w:rsid w:val="00AA14BF"/>
    <w:rsid w:val="00AA186A"/>
    <w:rsid w:val="00AA1AE5"/>
    <w:rsid w:val="00AA1B3F"/>
    <w:rsid w:val="00AA1F67"/>
    <w:rsid w:val="00AA2388"/>
    <w:rsid w:val="00AA2716"/>
    <w:rsid w:val="00AA293F"/>
    <w:rsid w:val="00AA29E1"/>
    <w:rsid w:val="00AA2C70"/>
    <w:rsid w:val="00AA2F96"/>
    <w:rsid w:val="00AA2F9D"/>
    <w:rsid w:val="00AA3054"/>
    <w:rsid w:val="00AA33A3"/>
    <w:rsid w:val="00AA366A"/>
    <w:rsid w:val="00AA3D1E"/>
    <w:rsid w:val="00AA3E06"/>
    <w:rsid w:val="00AA3FAD"/>
    <w:rsid w:val="00AA4561"/>
    <w:rsid w:val="00AA4A9B"/>
    <w:rsid w:val="00AA4C4C"/>
    <w:rsid w:val="00AA51F7"/>
    <w:rsid w:val="00AA528C"/>
    <w:rsid w:val="00AA5818"/>
    <w:rsid w:val="00AA5BEF"/>
    <w:rsid w:val="00AA5E50"/>
    <w:rsid w:val="00AA618F"/>
    <w:rsid w:val="00AA67D2"/>
    <w:rsid w:val="00AA69AF"/>
    <w:rsid w:val="00AA6A5E"/>
    <w:rsid w:val="00AA6E43"/>
    <w:rsid w:val="00AA7083"/>
    <w:rsid w:val="00AA7363"/>
    <w:rsid w:val="00AA78EA"/>
    <w:rsid w:val="00AA7AA4"/>
    <w:rsid w:val="00AB011A"/>
    <w:rsid w:val="00AB0228"/>
    <w:rsid w:val="00AB023A"/>
    <w:rsid w:val="00AB042B"/>
    <w:rsid w:val="00AB08B6"/>
    <w:rsid w:val="00AB0902"/>
    <w:rsid w:val="00AB0CEB"/>
    <w:rsid w:val="00AB0D40"/>
    <w:rsid w:val="00AB0F2A"/>
    <w:rsid w:val="00AB15E6"/>
    <w:rsid w:val="00AB16D2"/>
    <w:rsid w:val="00AB1769"/>
    <w:rsid w:val="00AB1A71"/>
    <w:rsid w:val="00AB1AC4"/>
    <w:rsid w:val="00AB1AF7"/>
    <w:rsid w:val="00AB1C97"/>
    <w:rsid w:val="00AB1F2C"/>
    <w:rsid w:val="00AB21F0"/>
    <w:rsid w:val="00AB2382"/>
    <w:rsid w:val="00AB276E"/>
    <w:rsid w:val="00AB2790"/>
    <w:rsid w:val="00AB293E"/>
    <w:rsid w:val="00AB2B8E"/>
    <w:rsid w:val="00AB2F47"/>
    <w:rsid w:val="00AB4AEA"/>
    <w:rsid w:val="00AB4B8B"/>
    <w:rsid w:val="00AB4BE3"/>
    <w:rsid w:val="00AB4BFD"/>
    <w:rsid w:val="00AB4C03"/>
    <w:rsid w:val="00AB5052"/>
    <w:rsid w:val="00AB56B2"/>
    <w:rsid w:val="00AB5787"/>
    <w:rsid w:val="00AB5826"/>
    <w:rsid w:val="00AB58CE"/>
    <w:rsid w:val="00AB5FA2"/>
    <w:rsid w:val="00AB63C6"/>
    <w:rsid w:val="00AB689E"/>
    <w:rsid w:val="00AB6B9B"/>
    <w:rsid w:val="00AB7286"/>
    <w:rsid w:val="00AB73ED"/>
    <w:rsid w:val="00AB771D"/>
    <w:rsid w:val="00AB78A3"/>
    <w:rsid w:val="00AC025B"/>
    <w:rsid w:val="00AC0780"/>
    <w:rsid w:val="00AC07B7"/>
    <w:rsid w:val="00AC0FB5"/>
    <w:rsid w:val="00AC1266"/>
    <w:rsid w:val="00AC12E6"/>
    <w:rsid w:val="00AC1467"/>
    <w:rsid w:val="00AC1DAC"/>
    <w:rsid w:val="00AC2263"/>
    <w:rsid w:val="00AC2302"/>
    <w:rsid w:val="00AC26D2"/>
    <w:rsid w:val="00AC2911"/>
    <w:rsid w:val="00AC2930"/>
    <w:rsid w:val="00AC2E38"/>
    <w:rsid w:val="00AC3016"/>
    <w:rsid w:val="00AC3096"/>
    <w:rsid w:val="00AC33BB"/>
    <w:rsid w:val="00AC36AA"/>
    <w:rsid w:val="00AC3906"/>
    <w:rsid w:val="00AC3985"/>
    <w:rsid w:val="00AC3B20"/>
    <w:rsid w:val="00AC412A"/>
    <w:rsid w:val="00AC4211"/>
    <w:rsid w:val="00AC42FB"/>
    <w:rsid w:val="00AC436E"/>
    <w:rsid w:val="00AC4805"/>
    <w:rsid w:val="00AC4BD3"/>
    <w:rsid w:val="00AC4E5F"/>
    <w:rsid w:val="00AC4F12"/>
    <w:rsid w:val="00AC508D"/>
    <w:rsid w:val="00AC5403"/>
    <w:rsid w:val="00AC550E"/>
    <w:rsid w:val="00AC5954"/>
    <w:rsid w:val="00AC5B1B"/>
    <w:rsid w:val="00AC5B81"/>
    <w:rsid w:val="00AC5F4E"/>
    <w:rsid w:val="00AC6216"/>
    <w:rsid w:val="00AC6559"/>
    <w:rsid w:val="00AC6E71"/>
    <w:rsid w:val="00AC6FBB"/>
    <w:rsid w:val="00AC72F4"/>
    <w:rsid w:val="00AC76F9"/>
    <w:rsid w:val="00AC79D0"/>
    <w:rsid w:val="00AC7A79"/>
    <w:rsid w:val="00AD0138"/>
    <w:rsid w:val="00AD016F"/>
    <w:rsid w:val="00AD0375"/>
    <w:rsid w:val="00AD06E2"/>
    <w:rsid w:val="00AD08D3"/>
    <w:rsid w:val="00AD0A99"/>
    <w:rsid w:val="00AD0C66"/>
    <w:rsid w:val="00AD0D29"/>
    <w:rsid w:val="00AD0E8B"/>
    <w:rsid w:val="00AD17F2"/>
    <w:rsid w:val="00AD1A9D"/>
    <w:rsid w:val="00AD1E9B"/>
    <w:rsid w:val="00AD1F1F"/>
    <w:rsid w:val="00AD2239"/>
    <w:rsid w:val="00AD22CD"/>
    <w:rsid w:val="00AD2300"/>
    <w:rsid w:val="00AD24B1"/>
    <w:rsid w:val="00AD267F"/>
    <w:rsid w:val="00AD275A"/>
    <w:rsid w:val="00AD27E4"/>
    <w:rsid w:val="00AD28B8"/>
    <w:rsid w:val="00AD2A2A"/>
    <w:rsid w:val="00AD3003"/>
    <w:rsid w:val="00AD3858"/>
    <w:rsid w:val="00AD3B68"/>
    <w:rsid w:val="00AD3C10"/>
    <w:rsid w:val="00AD3C42"/>
    <w:rsid w:val="00AD3E2B"/>
    <w:rsid w:val="00AD3ED4"/>
    <w:rsid w:val="00AD41E8"/>
    <w:rsid w:val="00AD4729"/>
    <w:rsid w:val="00AD4B12"/>
    <w:rsid w:val="00AD50D8"/>
    <w:rsid w:val="00AD561B"/>
    <w:rsid w:val="00AD632E"/>
    <w:rsid w:val="00AD6C6D"/>
    <w:rsid w:val="00AD74E4"/>
    <w:rsid w:val="00AD7638"/>
    <w:rsid w:val="00AD7770"/>
    <w:rsid w:val="00AD78E0"/>
    <w:rsid w:val="00AD7A6B"/>
    <w:rsid w:val="00AD7F1F"/>
    <w:rsid w:val="00AE0182"/>
    <w:rsid w:val="00AE0EBA"/>
    <w:rsid w:val="00AE0F2B"/>
    <w:rsid w:val="00AE1141"/>
    <w:rsid w:val="00AE1383"/>
    <w:rsid w:val="00AE15DF"/>
    <w:rsid w:val="00AE1BDE"/>
    <w:rsid w:val="00AE1D5D"/>
    <w:rsid w:val="00AE2079"/>
    <w:rsid w:val="00AE2871"/>
    <w:rsid w:val="00AE2ABC"/>
    <w:rsid w:val="00AE2B8E"/>
    <w:rsid w:val="00AE31F3"/>
    <w:rsid w:val="00AE3291"/>
    <w:rsid w:val="00AE33C7"/>
    <w:rsid w:val="00AE3A30"/>
    <w:rsid w:val="00AE3C48"/>
    <w:rsid w:val="00AE3C6C"/>
    <w:rsid w:val="00AE424E"/>
    <w:rsid w:val="00AE4B61"/>
    <w:rsid w:val="00AE4D80"/>
    <w:rsid w:val="00AE4F7C"/>
    <w:rsid w:val="00AE56E9"/>
    <w:rsid w:val="00AE5BA0"/>
    <w:rsid w:val="00AE5BF9"/>
    <w:rsid w:val="00AE621F"/>
    <w:rsid w:val="00AE6469"/>
    <w:rsid w:val="00AE6532"/>
    <w:rsid w:val="00AE677B"/>
    <w:rsid w:val="00AE6A2A"/>
    <w:rsid w:val="00AE6B58"/>
    <w:rsid w:val="00AE6D14"/>
    <w:rsid w:val="00AE6DA5"/>
    <w:rsid w:val="00AE7073"/>
    <w:rsid w:val="00AE74D5"/>
    <w:rsid w:val="00AE7789"/>
    <w:rsid w:val="00AE7B87"/>
    <w:rsid w:val="00AF0703"/>
    <w:rsid w:val="00AF1052"/>
    <w:rsid w:val="00AF1411"/>
    <w:rsid w:val="00AF18CD"/>
    <w:rsid w:val="00AF19E1"/>
    <w:rsid w:val="00AF2070"/>
    <w:rsid w:val="00AF20A3"/>
    <w:rsid w:val="00AF21E9"/>
    <w:rsid w:val="00AF2BB4"/>
    <w:rsid w:val="00AF3DCE"/>
    <w:rsid w:val="00AF45E1"/>
    <w:rsid w:val="00AF496D"/>
    <w:rsid w:val="00AF49C6"/>
    <w:rsid w:val="00AF4C4F"/>
    <w:rsid w:val="00AF4CFC"/>
    <w:rsid w:val="00AF52FB"/>
    <w:rsid w:val="00AF54BC"/>
    <w:rsid w:val="00AF5572"/>
    <w:rsid w:val="00AF578C"/>
    <w:rsid w:val="00AF5AB1"/>
    <w:rsid w:val="00AF5EEA"/>
    <w:rsid w:val="00AF6311"/>
    <w:rsid w:val="00AF653F"/>
    <w:rsid w:val="00AF6841"/>
    <w:rsid w:val="00AF6AB0"/>
    <w:rsid w:val="00AF7677"/>
    <w:rsid w:val="00AF7704"/>
    <w:rsid w:val="00AF7AC7"/>
    <w:rsid w:val="00AF7D0B"/>
    <w:rsid w:val="00AF7DF7"/>
    <w:rsid w:val="00AF7F91"/>
    <w:rsid w:val="00B0010A"/>
    <w:rsid w:val="00B002C8"/>
    <w:rsid w:val="00B00597"/>
    <w:rsid w:val="00B006F4"/>
    <w:rsid w:val="00B00741"/>
    <w:rsid w:val="00B00F15"/>
    <w:rsid w:val="00B01BA2"/>
    <w:rsid w:val="00B01BCF"/>
    <w:rsid w:val="00B01D3F"/>
    <w:rsid w:val="00B01FA9"/>
    <w:rsid w:val="00B02051"/>
    <w:rsid w:val="00B021A8"/>
    <w:rsid w:val="00B024AE"/>
    <w:rsid w:val="00B02AD8"/>
    <w:rsid w:val="00B034BE"/>
    <w:rsid w:val="00B03C50"/>
    <w:rsid w:val="00B04567"/>
    <w:rsid w:val="00B04BE2"/>
    <w:rsid w:val="00B04F5C"/>
    <w:rsid w:val="00B05161"/>
    <w:rsid w:val="00B05224"/>
    <w:rsid w:val="00B05338"/>
    <w:rsid w:val="00B0549F"/>
    <w:rsid w:val="00B0550D"/>
    <w:rsid w:val="00B0584E"/>
    <w:rsid w:val="00B05925"/>
    <w:rsid w:val="00B05955"/>
    <w:rsid w:val="00B059E7"/>
    <w:rsid w:val="00B05A15"/>
    <w:rsid w:val="00B05B20"/>
    <w:rsid w:val="00B0620C"/>
    <w:rsid w:val="00B0648B"/>
    <w:rsid w:val="00B06583"/>
    <w:rsid w:val="00B0671C"/>
    <w:rsid w:val="00B068CB"/>
    <w:rsid w:val="00B0694A"/>
    <w:rsid w:val="00B06B41"/>
    <w:rsid w:val="00B06EFB"/>
    <w:rsid w:val="00B070D4"/>
    <w:rsid w:val="00B07A8F"/>
    <w:rsid w:val="00B07B3F"/>
    <w:rsid w:val="00B10263"/>
    <w:rsid w:val="00B103EC"/>
    <w:rsid w:val="00B10B38"/>
    <w:rsid w:val="00B10CBE"/>
    <w:rsid w:val="00B10DA9"/>
    <w:rsid w:val="00B10F23"/>
    <w:rsid w:val="00B10F79"/>
    <w:rsid w:val="00B11485"/>
    <w:rsid w:val="00B11AF2"/>
    <w:rsid w:val="00B11BAC"/>
    <w:rsid w:val="00B12D71"/>
    <w:rsid w:val="00B12FE7"/>
    <w:rsid w:val="00B13097"/>
    <w:rsid w:val="00B131B8"/>
    <w:rsid w:val="00B13462"/>
    <w:rsid w:val="00B13BB4"/>
    <w:rsid w:val="00B13F3E"/>
    <w:rsid w:val="00B141E0"/>
    <w:rsid w:val="00B1441E"/>
    <w:rsid w:val="00B14594"/>
    <w:rsid w:val="00B14812"/>
    <w:rsid w:val="00B14BD8"/>
    <w:rsid w:val="00B14C9E"/>
    <w:rsid w:val="00B14F03"/>
    <w:rsid w:val="00B15266"/>
    <w:rsid w:val="00B158B3"/>
    <w:rsid w:val="00B158BE"/>
    <w:rsid w:val="00B15D20"/>
    <w:rsid w:val="00B160D0"/>
    <w:rsid w:val="00B161F7"/>
    <w:rsid w:val="00B16520"/>
    <w:rsid w:val="00B17395"/>
    <w:rsid w:val="00B1790E"/>
    <w:rsid w:val="00B17AD8"/>
    <w:rsid w:val="00B17B3D"/>
    <w:rsid w:val="00B20710"/>
    <w:rsid w:val="00B20AE4"/>
    <w:rsid w:val="00B20B4D"/>
    <w:rsid w:val="00B20CA9"/>
    <w:rsid w:val="00B20DE8"/>
    <w:rsid w:val="00B20F16"/>
    <w:rsid w:val="00B20F49"/>
    <w:rsid w:val="00B218EF"/>
    <w:rsid w:val="00B21D35"/>
    <w:rsid w:val="00B222EB"/>
    <w:rsid w:val="00B22671"/>
    <w:rsid w:val="00B226C9"/>
    <w:rsid w:val="00B22A3E"/>
    <w:rsid w:val="00B22BCD"/>
    <w:rsid w:val="00B23101"/>
    <w:rsid w:val="00B2317B"/>
    <w:rsid w:val="00B2380B"/>
    <w:rsid w:val="00B23B11"/>
    <w:rsid w:val="00B23B9E"/>
    <w:rsid w:val="00B23E8D"/>
    <w:rsid w:val="00B243AA"/>
    <w:rsid w:val="00B24BDB"/>
    <w:rsid w:val="00B24EE3"/>
    <w:rsid w:val="00B25222"/>
    <w:rsid w:val="00B256F3"/>
    <w:rsid w:val="00B259CA"/>
    <w:rsid w:val="00B2683D"/>
    <w:rsid w:val="00B26C2D"/>
    <w:rsid w:val="00B26E01"/>
    <w:rsid w:val="00B26E5E"/>
    <w:rsid w:val="00B2729D"/>
    <w:rsid w:val="00B27784"/>
    <w:rsid w:val="00B27BF9"/>
    <w:rsid w:val="00B27EEB"/>
    <w:rsid w:val="00B300CA"/>
    <w:rsid w:val="00B3060D"/>
    <w:rsid w:val="00B306DB"/>
    <w:rsid w:val="00B3091F"/>
    <w:rsid w:val="00B30955"/>
    <w:rsid w:val="00B30D29"/>
    <w:rsid w:val="00B311C2"/>
    <w:rsid w:val="00B31549"/>
    <w:rsid w:val="00B31A24"/>
    <w:rsid w:val="00B31ADF"/>
    <w:rsid w:val="00B31D01"/>
    <w:rsid w:val="00B31FD8"/>
    <w:rsid w:val="00B32164"/>
    <w:rsid w:val="00B32660"/>
    <w:rsid w:val="00B3291A"/>
    <w:rsid w:val="00B32C3C"/>
    <w:rsid w:val="00B32FE2"/>
    <w:rsid w:val="00B3347D"/>
    <w:rsid w:val="00B3352A"/>
    <w:rsid w:val="00B33580"/>
    <w:rsid w:val="00B3419A"/>
    <w:rsid w:val="00B343E3"/>
    <w:rsid w:val="00B34545"/>
    <w:rsid w:val="00B345AB"/>
    <w:rsid w:val="00B34A99"/>
    <w:rsid w:val="00B3552F"/>
    <w:rsid w:val="00B356A0"/>
    <w:rsid w:val="00B357E3"/>
    <w:rsid w:val="00B35DB0"/>
    <w:rsid w:val="00B36027"/>
    <w:rsid w:val="00B36077"/>
    <w:rsid w:val="00B36369"/>
    <w:rsid w:val="00B36640"/>
    <w:rsid w:val="00B367E3"/>
    <w:rsid w:val="00B36938"/>
    <w:rsid w:val="00B369E3"/>
    <w:rsid w:val="00B36CF5"/>
    <w:rsid w:val="00B37454"/>
    <w:rsid w:val="00B37519"/>
    <w:rsid w:val="00B379DB"/>
    <w:rsid w:val="00B37AB8"/>
    <w:rsid w:val="00B37D11"/>
    <w:rsid w:val="00B37FB5"/>
    <w:rsid w:val="00B40241"/>
    <w:rsid w:val="00B40322"/>
    <w:rsid w:val="00B404BD"/>
    <w:rsid w:val="00B406C7"/>
    <w:rsid w:val="00B40962"/>
    <w:rsid w:val="00B409D3"/>
    <w:rsid w:val="00B41438"/>
    <w:rsid w:val="00B41678"/>
    <w:rsid w:val="00B41C81"/>
    <w:rsid w:val="00B41E7B"/>
    <w:rsid w:val="00B425CA"/>
    <w:rsid w:val="00B42667"/>
    <w:rsid w:val="00B426D9"/>
    <w:rsid w:val="00B42A4C"/>
    <w:rsid w:val="00B42B99"/>
    <w:rsid w:val="00B42CFF"/>
    <w:rsid w:val="00B4340F"/>
    <w:rsid w:val="00B43C08"/>
    <w:rsid w:val="00B43D46"/>
    <w:rsid w:val="00B4402B"/>
    <w:rsid w:val="00B4413E"/>
    <w:rsid w:val="00B44529"/>
    <w:rsid w:val="00B4462A"/>
    <w:rsid w:val="00B44633"/>
    <w:rsid w:val="00B4496F"/>
    <w:rsid w:val="00B44A8F"/>
    <w:rsid w:val="00B44D59"/>
    <w:rsid w:val="00B44E42"/>
    <w:rsid w:val="00B44F2D"/>
    <w:rsid w:val="00B45197"/>
    <w:rsid w:val="00B45475"/>
    <w:rsid w:val="00B45B3B"/>
    <w:rsid w:val="00B45BAA"/>
    <w:rsid w:val="00B462D5"/>
    <w:rsid w:val="00B463E5"/>
    <w:rsid w:val="00B4653B"/>
    <w:rsid w:val="00B4675E"/>
    <w:rsid w:val="00B467EC"/>
    <w:rsid w:val="00B46896"/>
    <w:rsid w:val="00B46C78"/>
    <w:rsid w:val="00B46F25"/>
    <w:rsid w:val="00B47003"/>
    <w:rsid w:val="00B47229"/>
    <w:rsid w:val="00B472A8"/>
    <w:rsid w:val="00B4762A"/>
    <w:rsid w:val="00B47649"/>
    <w:rsid w:val="00B4765B"/>
    <w:rsid w:val="00B47D50"/>
    <w:rsid w:val="00B50A35"/>
    <w:rsid w:val="00B50E8E"/>
    <w:rsid w:val="00B5119D"/>
    <w:rsid w:val="00B51250"/>
    <w:rsid w:val="00B52090"/>
    <w:rsid w:val="00B523AE"/>
    <w:rsid w:val="00B52589"/>
    <w:rsid w:val="00B52684"/>
    <w:rsid w:val="00B52FDC"/>
    <w:rsid w:val="00B52FEA"/>
    <w:rsid w:val="00B5315B"/>
    <w:rsid w:val="00B532CF"/>
    <w:rsid w:val="00B532ED"/>
    <w:rsid w:val="00B53549"/>
    <w:rsid w:val="00B541F4"/>
    <w:rsid w:val="00B541FC"/>
    <w:rsid w:val="00B5428D"/>
    <w:rsid w:val="00B5434F"/>
    <w:rsid w:val="00B5450D"/>
    <w:rsid w:val="00B5470A"/>
    <w:rsid w:val="00B54BBE"/>
    <w:rsid w:val="00B54D39"/>
    <w:rsid w:val="00B54D5C"/>
    <w:rsid w:val="00B54DD2"/>
    <w:rsid w:val="00B54F26"/>
    <w:rsid w:val="00B55AEA"/>
    <w:rsid w:val="00B55E69"/>
    <w:rsid w:val="00B55F76"/>
    <w:rsid w:val="00B563BB"/>
    <w:rsid w:val="00B56606"/>
    <w:rsid w:val="00B56B10"/>
    <w:rsid w:val="00B56F16"/>
    <w:rsid w:val="00B571E7"/>
    <w:rsid w:val="00B573AE"/>
    <w:rsid w:val="00B57580"/>
    <w:rsid w:val="00B57C1B"/>
    <w:rsid w:val="00B61410"/>
    <w:rsid w:val="00B6144E"/>
    <w:rsid w:val="00B61572"/>
    <w:rsid w:val="00B6168E"/>
    <w:rsid w:val="00B622C5"/>
    <w:rsid w:val="00B623C1"/>
    <w:rsid w:val="00B6247C"/>
    <w:rsid w:val="00B626B9"/>
    <w:rsid w:val="00B63488"/>
    <w:rsid w:val="00B635DB"/>
    <w:rsid w:val="00B635DF"/>
    <w:rsid w:val="00B6384B"/>
    <w:rsid w:val="00B63925"/>
    <w:rsid w:val="00B63DB0"/>
    <w:rsid w:val="00B64309"/>
    <w:rsid w:val="00B6453E"/>
    <w:rsid w:val="00B645A3"/>
    <w:rsid w:val="00B654C3"/>
    <w:rsid w:val="00B65C83"/>
    <w:rsid w:val="00B65D84"/>
    <w:rsid w:val="00B65F49"/>
    <w:rsid w:val="00B6615D"/>
    <w:rsid w:val="00B663DA"/>
    <w:rsid w:val="00B66823"/>
    <w:rsid w:val="00B66A4E"/>
    <w:rsid w:val="00B66E9F"/>
    <w:rsid w:val="00B67BF4"/>
    <w:rsid w:val="00B70094"/>
    <w:rsid w:val="00B701F3"/>
    <w:rsid w:val="00B707C4"/>
    <w:rsid w:val="00B709DE"/>
    <w:rsid w:val="00B70BC6"/>
    <w:rsid w:val="00B7109C"/>
    <w:rsid w:val="00B7159F"/>
    <w:rsid w:val="00B71C06"/>
    <w:rsid w:val="00B71CB6"/>
    <w:rsid w:val="00B7231F"/>
    <w:rsid w:val="00B7251B"/>
    <w:rsid w:val="00B7257F"/>
    <w:rsid w:val="00B726DF"/>
    <w:rsid w:val="00B728F7"/>
    <w:rsid w:val="00B72D74"/>
    <w:rsid w:val="00B72EF9"/>
    <w:rsid w:val="00B73062"/>
    <w:rsid w:val="00B732E1"/>
    <w:rsid w:val="00B73894"/>
    <w:rsid w:val="00B74557"/>
    <w:rsid w:val="00B7475D"/>
    <w:rsid w:val="00B74CC9"/>
    <w:rsid w:val="00B74CEB"/>
    <w:rsid w:val="00B7551A"/>
    <w:rsid w:val="00B75D7B"/>
    <w:rsid w:val="00B7601E"/>
    <w:rsid w:val="00B7637E"/>
    <w:rsid w:val="00B7645F"/>
    <w:rsid w:val="00B7670A"/>
    <w:rsid w:val="00B7672D"/>
    <w:rsid w:val="00B76E21"/>
    <w:rsid w:val="00B76EF3"/>
    <w:rsid w:val="00B771D5"/>
    <w:rsid w:val="00B772FC"/>
    <w:rsid w:val="00B77CAB"/>
    <w:rsid w:val="00B77CB6"/>
    <w:rsid w:val="00B8070C"/>
    <w:rsid w:val="00B80CBF"/>
    <w:rsid w:val="00B80D1A"/>
    <w:rsid w:val="00B80DE3"/>
    <w:rsid w:val="00B8127E"/>
    <w:rsid w:val="00B815D0"/>
    <w:rsid w:val="00B81C74"/>
    <w:rsid w:val="00B81D68"/>
    <w:rsid w:val="00B81DAA"/>
    <w:rsid w:val="00B82100"/>
    <w:rsid w:val="00B8280D"/>
    <w:rsid w:val="00B82832"/>
    <w:rsid w:val="00B8285A"/>
    <w:rsid w:val="00B8293A"/>
    <w:rsid w:val="00B82C36"/>
    <w:rsid w:val="00B82D9B"/>
    <w:rsid w:val="00B83147"/>
    <w:rsid w:val="00B8343F"/>
    <w:rsid w:val="00B838B0"/>
    <w:rsid w:val="00B83BB6"/>
    <w:rsid w:val="00B83C9A"/>
    <w:rsid w:val="00B83D76"/>
    <w:rsid w:val="00B84120"/>
    <w:rsid w:val="00B84286"/>
    <w:rsid w:val="00B846C6"/>
    <w:rsid w:val="00B84B1A"/>
    <w:rsid w:val="00B84C96"/>
    <w:rsid w:val="00B84C97"/>
    <w:rsid w:val="00B84E31"/>
    <w:rsid w:val="00B84EFA"/>
    <w:rsid w:val="00B850E0"/>
    <w:rsid w:val="00B85829"/>
    <w:rsid w:val="00B85A55"/>
    <w:rsid w:val="00B85C30"/>
    <w:rsid w:val="00B85C5E"/>
    <w:rsid w:val="00B85F54"/>
    <w:rsid w:val="00B861D3"/>
    <w:rsid w:val="00B86309"/>
    <w:rsid w:val="00B86A8C"/>
    <w:rsid w:val="00B86AAD"/>
    <w:rsid w:val="00B86C44"/>
    <w:rsid w:val="00B86D4D"/>
    <w:rsid w:val="00B872A3"/>
    <w:rsid w:val="00B879A6"/>
    <w:rsid w:val="00B879B9"/>
    <w:rsid w:val="00B87ED8"/>
    <w:rsid w:val="00B90403"/>
    <w:rsid w:val="00B90684"/>
    <w:rsid w:val="00B9083D"/>
    <w:rsid w:val="00B90E52"/>
    <w:rsid w:val="00B90FC6"/>
    <w:rsid w:val="00B91A54"/>
    <w:rsid w:val="00B91D25"/>
    <w:rsid w:val="00B91F19"/>
    <w:rsid w:val="00B92932"/>
    <w:rsid w:val="00B932E1"/>
    <w:rsid w:val="00B93702"/>
    <w:rsid w:val="00B93A6E"/>
    <w:rsid w:val="00B93C73"/>
    <w:rsid w:val="00B93F05"/>
    <w:rsid w:val="00B94354"/>
    <w:rsid w:val="00B94725"/>
    <w:rsid w:val="00B94A31"/>
    <w:rsid w:val="00B94EB5"/>
    <w:rsid w:val="00B94FA3"/>
    <w:rsid w:val="00B95178"/>
    <w:rsid w:val="00B95308"/>
    <w:rsid w:val="00B955B9"/>
    <w:rsid w:val="00B95AB0"/>
    <w:rsid w:val="00B95C1B"/>
    <w:rsid w:val="00B95D11"/>
    <w:rsid w:val="00B95FA1"/>
    <w:rsid w:val="00B960B6"/>
    <w:rsid w:val="00B9610D"/>
    <w:rsid w:val="00B96283"/>
    <w:rsid w:val="00B96369"/>
    <w:rsid w:val="00B964D0"/>
    <w:rsid w:val="00B96D19"/>
    <w:rsid w:val="00B971B2"/>
    <w:rsid w:val="00B97447"/>
    <w:rsid w:val="00B977ED"/>
    <w:rsid w:val="00B979C1"/>
    <w:rsid w:val="00B97D32"/>
    <w:rsid w:val="00BA028E"/>
    <w:rsid w:val="00BA041F"/>
    <w:rsid w:val="00BA073A"/>
    <w:rsid w:val="00BA0AE2"/>
    <w:rsid w:val="00BA10B1"/>
    <w:rsid w:val="00BA11C9"/>
    <w:rsid w:val="00BA12E6"/>
    <w:rsid w:val="00BA185E"/>
    <w:rsid w:val="00BA18B3"/>
    <w:rsid w:val="00BA18BF"/>
    <w:rsid w:val="00BA18ED"/>
    <w:rsid w:val="00BA1B8E"/>
    <w:rsid w:val="00BA2159"/>
    <w:rsid w:val="00BA2425"/>
    <w:rsid w:val="00BA2664"/>
    <w:rsid w:val="00BA2738"/>
    <w:rsid w:val="00BA2744"/>
    <w:rsid w:val="00BA276F"/>
    <w:rsid w:val="00BA27DD"/>
    <w:rsid w:val="00BA2D32"/>
    <w:rsid w:val="00BA3131"/>
    <w:rsid w:val="00BA3586"/>
    <w:rsid w:val="00BA46C2"/>
    <w:rsid w:val="00BA4E2D"/>
    <w:rsid w:val="00BA5174"/>
    <w:rsid w:val="00BA536A"/>
    <w:rsid w:val="00BA5609"/>
    <w:rsid w:val="00BA5862"/>
    <w:rsid w:val="00BA60E2"/>
    <w:rsid w:val="00BA6232"/>
    <w:rsid w:val="00BA6A09"/>
    <w:rsid w:val="00BA6B2B"/>
    <w:rsid w:val="00BA6D4E"/>
    <w:rsid w:val="00BA7053"/>
    <w:rsid w:val="00BA711D"/>
    <w:rsid w:val="00BA723A"/>
    <w:rsid w:val="00BA73DC"/>
    <w:rsid w:val="00BA741B"/>
    <w:rsid w:val="00BA7AA9"/>
    <w:rsid w:val="00BB03E9"/>
    <w:rsid w:val="00BB0CF2"/>
    <w:rsid w:val="00BB12DC"/>
    <w:rsid w:val="00BB13D1"/>
    <w:rsid w:val="00BB170C"/>
    <w:rsid w:val="00BB196C"/>
    <w:rsid w:val="00BB1AFB"/>
    <w:rsid w:val="00BB1B6B"/>
    <w:rsid w:val="00BB20F8"/>
    <w:rsid w:val="00BB21CA"/>
    <w:rsid w:val="00BB2318"/>
    <w:rsid w:val="00BB288D"/>
    <w:rsid w:val="00BB2948"/>
    <w:rsid w:val="00BB29D9"/>
    <w:rsid w:val="00BB2A6A"/>
    <w:rsid w:val="00BB2B33"/>
    <w:rsid w:val="00BB2EA9"/>
    <w:rsid w:val="00BB343B"/>
    <w:rsid w:val="00BB3606"/>
    <w:rsid w:val="00BB3627"/>
    <w:rsid w:val="00BB38E7"/>
    <w:rsid w:val="00BB391C"/>
    <w:rsid w:val="00BB398A"/>
    <w:rsid w:val="00BB3CB8"/>
    <w:rsid w:val="00BB3E12"/>
    <w:rsid w:val="00BB3E32"/>
    <w:rsid w:val="00BB4224"/>
    <w:rsid w:val="00BB4623"/>
    <w:rsid w:val="00BB4EB7"/>
    <w:rsid w:val="00BB530D"/>
    <w:rsid w:val="00BB5664"/>
    <w:rsid w:val="00BB5E29"/>
    <w:rsid w:val="00BB69F0"/>
    <w:rsid w:val="00BB6AF1"/>
    <w:rsid w:val="00BB6BD3"/>
    <w:rsid w:val="00BB6D93"/>
    <w:rsid w:val="00BB6E01"/>
    <w:rsid w:val="00BB79D7"/>
    <w:rsid w:val="00BB7C37"/>
    <w:rsid w:val="00BB7C5A"/>
    <w:rsid w:val="00BB7C5D"/>
    <w:rsid w:val="00BB7D2B"/>
    <w:rsid w:val="00BC0157"/>
    <w:rsid w:val="00BC03B0"/>
    <w:rsid w:val="00BC043E"/>
    <w:rsid w:val="00BC0A92"/>
    <w:rsid w:val="00BC0CA7"/>
    <w:rsid w:val="00BC0E65"/>
    <w:rsid w:val="00BC125D"/>
    <w:rsid w:val="00BC1864"/>
    <w:rsid w:val="00BC1895"/>
    <w:rsid w:val="00BC2228"/>
    <w:rsid w:val="00BC23F1"/>
    <w:rsid w:val="00BC24B7"/>
    <w:rsid w:val="00BC2563"/>
    <w:rsid w:val="00BC28B3"/>
    <w:rsid w:val="00BC2B0D"/>
    <w:rsid w:val="00BC2DCA"/>
    <w:rsid w:val="00BC354E"/>
    <w:rsid w:val="00BC3557"/>
    <w:rsid w:val="00BC3562"/>
    <w:rsid w:val="00BC3E19"/>
    <w:rsid w:val="00BC3F0C"/>
    <w:rsid w:val="00BC40F8"/>
    <w:rsid w:val="00BC41C5"/>
    <w:rsid w:val="00BC42E3"/>
    <w:rsid w:val="00BC45B0"/>
    <w:rsid w:val="00BC4604"/>
    <w:rsid w:val="00BC4654"/>
    <w:rsid w:val="00BC4A87"/>
    <w:rsid w:val="00BC5153"/>
    <w:rsid w:val="00BC51B8"/>
    <w:rsid w:val="00BC54BE"/>
    <w:rsid w:val="00BC5BBA"/>
    <w:rsid w:val="00BC6054"/>
    <w:rsid w:val="00BC6367"/>
    <w:rsid w:val="00BC66C5"/>
    <w:rsid w:val="00BC67F7"/>
    <w:rsid w:val="00BC6D02"/>
    <w:rsid w:val="00BC6E1F"/>
    <w:rsid w:val="00BC710A"/>
    <w:rsid w:val="00BC7D75"/>
    <w:rsid w:val="00BD0300"/>
    <w:rsid w:val="00BD06A5"/>
    <w:rsid w:val="00BD0C12"/>
    <w:rsid w:val="00BD0F36"/>
    <w:rsid w:val="00BD11B4"/>
    <w:rsid w:val="00BD1263"/>
    <w:rsid w:val="00BD1ED6"/>
    <w:rsid w:val="00BD21E1"/>
    <w:rsid w:val="00BD222E"/>
    <w:rsid w:val="00BD22EC"/>
    <w:rsid w:val="00BD2412"/>
    <w:rsid w:val="00BD298B"/>
    <w:rsid w:val="00BD29A7"/>
    <w:rsid w:val="00BD2CFD"/>
    <w:rsid w:val="00BD2E83"/>
    <w:rsid w:val="00BD2FE5"/>
    <w:rsid w:val="00BD3540"/>
    <w:rsid w:val="00BD3DC8"/>
    <w:rsid w:val="00BD4734"/>
    <w:rsid w:val="00BD4E9A"/>
    <w:rsid w:val="00BD5B0C"/>
    <w:rsid w:val="00BD5B83"/>
    <w:rsid w:val="00BD5BFB"/>
    <w:rsid w:val="00BD5C03"/>
    <w:rsid w:val="00BD5E8B"/>
    <w:rsid w:val="00BD5F14"/>
    <w:rsid w:val="00BD6170"/>
    <w:rsid w:val="00BD6914"/>
    <w:rsid w:val="00BD6A8C"/>
    <w:rsid w:val="00BD6BA0"/>
    <w:rsid w:val="00BD6BE3"/>
    <w:rsid w:val="00BD711D"/>
    <w:rsid w:val="00BD7273"/>
    <w:rsid w:val="00BD733C"/>
    <w:rsid w:val="00BD7EC2"/>
    <w:rsid w:val="00BE05B2"/>
    <w:rsid w:val="00BE061B"/>
    <w:rsid w:val="00BE067A"/>
    <w:rsid w:val="00BE069E"/>
    <w:rsid w:val="00BE06DB"/>
    <w:rsid w:val="00BE06F3"/>
    <w:rsid w:val="00BE0BAA"/>
    <w:rsid w:val="00BE1077"/>
    <w:rsid w:val="00BE121E"/>
    <w:rsid w:val="00BE1512"/>
    <w:rsid w:val="00BE1975"/>
    <w:rsid w:val="00BE1BA9"/>
    <w:rsid w:val="00BE1E28"/>
    <w:rsid w:val="00BE1E81"/>
    <w:rsid w:val="00BE320A"/>
    <w:rsid w:val="00BE3322"/>
    <w:rsid w:val="00BE3746"/>
    <w:rsid w:val="00BE3E01"/>
    <w:rsid w:val="00BE3E90"/>
    <w:rsid w:val="00BE3FD7"/>
    <w:rsid w:val="00BE4071"/>
    <w:rsid w:val="00BE40AF"/>
    <w:rsid w:val="00BE4395"/>
    <w:rsid w:val="00BE445B"/>
    <w:rsid w:val="00BE461D"/>
    <w:rsid w:val="00BE47C9"/>
    <w:rsid w:val="00BE535D"/>
    <w:rsid w:val="00BE5529"/>
    <w:rsid w:val="00BE5A1A"/>
    <w:rsid w:val="00BE5DDF"/>
    <w:rsid w:val="00BE62B7"/>
    <w:rsid w:val="00BE66FD"/>
    <w:rsid w:val="00BE692B"/>
    <w:rsid w:val="00BE6E65"/>
    <w:rsid w:val="00BE7346"/>
    <w:rsid w:val="00BE779B"/>
    <w:rsid w:val="00BE798B"/>
    <w:rsid w:val="00BE7BBE"/>
    <w:rsid w:val="00BE7C8E"/>
    <w:rsid w:val="00BF0405"/>
    <w:rsid w:val="00BF0785"/>
    <w:rsid w:val="00BF08F5"/>
    <w:rsid w:val="00BF0BC7"/>
    <w:rsid w:val="00BF1103"/>
    <w:rsid w:val="00BF113C"/>
    <w:rsid w:val="00BF1930"/>
    <w:rsid w:val="00BF195B"/>
    <w:rsid w:val="00BF1B4C"/>
    <w:rsid w:val="00BF3033"/>
    <w:rsid w:val="00BF37FB"/>
    <w:rsid w:val="00BF397D"/>
    <w:rsid w:val="00BF410A"/>
    <w:rsid w:val="00BF41F8"/>
    <w:rsid w:val="00BF4978"/>
    <w:rsid w:val="00BF4A1D"/>
    <w:rsid w:val="00BF4DBC"/>
    <w:rsid w:val="00BF513B"/>
    <w:rsid w:val="00BF5267"/>
    <w:rsid w:val="00BF57F9"/>
    <w:rsid w:val="00BF5A87"/>
    <w:rsid w:val="00BF5AF4"/>
    <w:rsid w:val="00BF629B"/>
    <w:rsid w:val="00BF694A"/>
    <w:rsid w:val="00BF6C12"/>
    <w:rsid w:val="00BF7309"/>
    <w:rsid w:val="00BF746C"/>
    <w:rsid w:val="00BF77A4"/>
    <w:rsid w:val="00BF77B2"/>
    <w:rsid w:val="00BF7F8C"/>
    <w:rsid w:val="00C0032D"/>
    <w:rsid w:val="00C00683"/>
    <w:rsid w:val="00C00AEC"/>
    <w:rsid w:val="00C0117E"/>
    <w:rsid w:val="00C014F2"/>
    <w:rsid w:val="00C016F4"/>
    <w:rsid w:val="00C0185F"/>
    <w:rsid w:val="00C01A8A"/>
    <w:rsid w:val="00C01E48"/>
    <w:rsid w:val="00C02349"/>
    <w:rsid w:val="00C023CD"/>
    <w:rsid w:val="00C0258A"/>
    <w:rsid w:val="00C0322C"/>
    <w:rsid w:val="00C0344A"/>
    <w:rsid w:val="00C035A7"/>
    <w:rsid w:val="00C043B5"/>
    <w:rsid w:val="00C05353"/>
    <w:rsid w:val="00C055CE"/>
    <w:rsid w:val="00C05C32"/>
    <w:rsid w:val="00C061C3"/>
    <w:rsid w:val="00C06A5D"/>
    <w:rsid w:val="00C06B1E"/>
    <w:rsid w:val="00C06D84"/>
    <w:rsid w:val="00C07215"/>
    <w:rsid w:val="00C0742F"/>
    <w:rsid w:val="00C07748"/>
    <w:rsid w:val="00C0795F"/>
    <w:rsid w:val="00C07B21"/>
    <w:rsid w:val="00C07DC3"/>
    <w:rsid w:val="00C10070"/>
    <w:rsid w:val="00C10161"/>
    <w:rsid w:val="00C10290"/>
    <w:rsid w:val="00C10633"/>
    <w:rsid w:val="00C1066C"/>
    <w:rsid w:val="00C10CDE"/>
    <w:rsid w:val="00C10E16"/>
    <w:rsid w:val="00C110DE"/>
    <w:rsid w:val="00C111DA"/>
    <w:rsid w:val="00C11C0B"/>
    <w:rsid w:val="00C11C4C"/>
    <w:rsid w:val="00C11D9D"/>
    <w:rsid w:val="00C121D1"/>
    <w:rsid w:val="00C126B8"/>
    <w:rsid w:val="00C12925"/>
    <w:rsid w:val="00C135B1"/>
    <w:rsid w:val="00C1368F"/>
    <w:rsid w:val="00C1387E"/>
    <w:rsid w:val="00C13B33"/>
    <w:rsid w:val="00C1456D"/>
    <w:rsid w:val="00C14D13"/>
    <w:rsid w:val="00C150C4"/>
    <w:rsid w:val="00C1524C"/>
    <w:rsid w:val="00C15322"/>
    <w:rsid w:val="00C156FE"/>
    <w:rsid w:val="00C1576A"/>
    <w:rsid w:val="00C15936"/>
    <w:rsid w:val="00C15A28"/>
    <w:rsid w:val="00C16222"/>
    <w:rsid w:val="00C16353"/>
    <w:rsid w:val="00C16D87"/>
    <w:rsid w:val="00C16E3A"/>
    <w:rsid w:val="00C1703F"/>
    <w:rsid w:val="00C173E3"/>
    <w:rsid w:val="00C17B2C"/>
    <w:rsid w:val="00C17C2B"/>
    <w:rsid w:val="00C203AA"/>
    <w:rsid w:val="00C20531"/>
    <w:rsid w:val="00C20593"/>
    <w:rsid w:val="00C21089"/>
    <w:rsid w:val="00C21126"/>
    <w:rsid w:val="00C21383"/>
    <w:rsid w:val="00C215DB"/>
    <w:rsid w:val="00C21858"/>
    <w:rsid w:val="00C219D3"/>
    <w:rsid w:val="00C223DD"/>
    <w:rsid w:val="00C22C72"/>
    <w:rsid w:val="00C22F8B"/>
    <w:rsid w:val="00C2328F"/>
    <w:rsid w:val="00C233C7"/>
    <w:rsid w:val="00C23572"/>
    <w:rsid w:val="00C235B3"/>
    <w:rsid w:val="00C23C07"/>
    <w:rsid w:val="00C23CC4"/>
    <w:rsid w:val="00C23E7A"/>
    <w:rsid w:val="00C23FA0"/>
    <w:rsid w:val="00C24044"/>
    <w:rsid w:val="00C24566"/>
    <w:rsid w:val="00C2468D"/>
    <w:rsid w:val="00C24777"/>
    <w:rsid w:val="00C24C0B"/>
    <w:rsid w:val="00C24C13"/>
    <w:rsid w:val="00C24F07"/>
    <w:rsid w:val="00C25330"/>
    <w:rsid w:val="00C25606"/>
    <w:rsid w:val="00C25971"/>
    <w:rsid w:val="00C259A7"/>
    <w:rsid w:val="00C25D39"/>
    <w:rsid w:val="00C25E98"/>
    <w:rsid w:val="00C26194"/>
    <w:rsid w:val="00C26476"/>
    <w:rsid w:val="00C266F9"/>
    <w:rsid w:val="00C26A1B"/>
    <w:rsid w:val="00C26B09"/>
    <w:rsid w:val="00C26BFB"/>
    <w:rsid w:val="00C26EFD"/>
    <w:rsid w:val="00C2707E"/>
    <w:rsid w:val="00C2777D"/>
    <w:rsid w:val="00C278E6"/>
    <w:rsid w:val="00C27D7F"/>
    <w:rsid w:val="00C27F20"/>
    <w:rsid w:val="00C27F8E"/>
    <w:rsid w:val="00C30208"/>
    <w:rsid w:val="00C306E5"/>
    <w:rsid w:val="00C30938"/>
    <w:rsid w:val="00C30C1D"/>
    <w:rsid w:val="00C317F9"/>
    <w:rsid w:val="00C32194"/>
    <w:rsid w:val="00C323B8"/>
    <w:rsid w:val="00C32986"/>
    <w:rsid w:val="00C32DEE"/>
    <w:rsid w:val="00C32EF6"/>
    <w:rsid w:val="00C32F9D"/>
    <w:rsid w:val="00C337E8"/>
    <w:rsid w:val="00C33E04"/>
    <w:rsid w:val="00C34029"/>
    <w:rsid w:val="00C34262"/>
    <w:rsid w:val="00C343BB"/>
    <w:rsid w:val="00C346E2"/>
    <w:rsid w:val="00C348FA"/>
    <w:rsid w:val="00C34C33"/>
    <w:rsid w:val="00C34D73"/>
    <w:rsid w:val="00C3519B"/>
    <w:rsid w:val="00C351D7"/>
    <w:rsid w:val="00C3531F"/>
    <w:rsid w:val="00C35552"/>
    <w:rsid w:val="00C3590E"/>
    <w:rsid w:val="00C35C67"/>
    <w:rsid w:val="00C35DAE"/>
    <w:rsid w:val="00C35DEB"/>
    <w:rsid w:val="00C36064"/>
    <w:rsid w:val="00C360FE"/>
    <w:rsid w:val="00C36210"/>
    <w:rsid w:val="00C36982"/>
    <w:rsid w:val="00C36B56"/>
    <w:rsid w:val="00C36CD2"/>
    <w:rsid w:val="00C37233"/>
    <w:rsid w:val="00C37360"/>
    <w:rsid w:val="00C373EA"/>
    <w:rsid w:val="00C37551"/>
    <w:rsid w:val="00C37A23"/>
    <w:rsid w:val="00C37AAB"/>
    <w:rsid w:val="00C37D6A"/>
    <w:rsid w:val="00C40496"/>
    <w:rsid w:val="00C4058B"/>
    <w:rsid w:val="00C407B3"/>
    <w:rsid w:val="00C40CAA"/>
    <w:rsid w:val="00C40E88"/>
    <w:rsid w:val="00C40EF8"/>
    <w:rsid w:val="00C412A9"/>
    <w:rsid w:val="00C42516"/>
    <w:rsid w:val="00C4287C"/>
    <w:rsid w:val="00C42C92"/>
    <w:rsid w:val="00C42E14"/>
    <w:rsid w:val="00C42F5D"/>
    <w:rsid w:val="00C4306A"/>
    <w:rsid w:val="00C432B7"/>
    <w:rsid w:val="00C43B1B"/>
    <w:rsid w:val="00C43EC9"/>
    <w:rsid w:val="00C443AE"/>
    <w:rsid w:val="00C44F86"/>
    <w:rsid w:val="00C44FEE"/>
    <w:rsid w:val="00C45112"/>
    <w:rsid w:val="00C451A4"/>
    <w:rsid w:val="00C454DE"/>
    <w:rsid w:val="00C45A94"/>
    <w:rsid w:val="00C45BEE"/>
    <w:rsid w:val="00C45E80"/>
    <w:rsid w:val="00C45FF3"/>
    <w:rsid w:val="00C462DC"/>
    <w:rsid w:val="00C466AE"/>
    <w:rsid w:val="00C46C60"/>
    <w:rsid w:val="00C46DDD"/>
    <w:rsid w:val="00C4710F"/>
    <w:rsid w:val="00C471F2"/>
    <w:rsid w:val="00C47BAD"/>
    <w:rsid w:val="00C47CCB"/>
    <w:rsid w:val="00C5045A"/>
    <w:rsid w:val="00C50465"/>
    <w:rsid w:val="00C50908"/>
    <w:rsid w:val="00C50AF4"/>
    <w:rsid w:val="00C50B65"/>
    <w:rsid w:val="00C50C4B"/>
    <w:rsid w:val="00C5117E"/>
    <w:rsid w:val="00C5148B"/>
    <w:rsid w:val="00C517C8"/>
    <w:rsid w:val="00C51985"/>
    <w:rsid w:val="00C53133"/>
    <w:rsid w:val="00C53638"/>
    <w:rsid w:val="00C53875"/>
    <w:rsid w:val="00C543DA"/>
    <w:rsid w:val="00C545F0"/>
    <w:rsid w:val="00C546DB"/>
    <w:rsid w:val="00C5475C"/>
    <w:rsid w:val="00C54A13"/>
    <w:rsid w:val="00C54B89"/>
    <w:rsid w:val="00C54CFC"/>
    <w:rsid w:val="00C55EAC"/>
    <w:rsid w:val="00C56070"/>
    <w:rsid w:val="00C563AC"/>
    <w:rsid w:val="00C56520"/>
    <w:rsid w:val="00C56852"/>
    <w:rsid w:val="00C56F4E"/>
    <w:rsid w:val="00C571F3"/>
    <w:rsid w:val="00C5734D"/>
    <w:rsid w:val="00C573E9"/>
    <w:rsid w:val="00C57749"/>
    <w:rsid w:val="00C600EB"/>
    <w:rsid w:val="00C6158A"/>
    <w:rsid w:val="00C615A7"/>
    <w:rsid w:val="00C615BD"/>
    <w:rsid w:val="00C617D0"/>
    <w:rsid w:val="00C61E82"/>
    <w:rsid w:val="00C61F25"/>
    <w:rsid w:val="00C620DA"/>
    <w:rsid w:val="00C625AF"/>
    <w:rsid w:val="00C625B8"/>
    <w:rsid w:val="00C62964"/>
    <w:rsid w:val="00C62E20"/>
    <w:rsid w:val="00C64411"/>
    <w:rsid w:val="00C646D4"/>
    <w:rsid w:val="00C64B81"/>
    <w:rsid w:val="00C6549B"/>
    <w:rsid w:val="00C65982"/>
    <w:rsid w:val="00C65FE5"/>
    <w:rsid w:val="00C66193"/>
    <w:rsid w:val="00C66315"/>
    <w:rsid w:val="00C66758"/>
    <w:rsid w:val="00C66879"/>
    <w:rsid w:val="00C66991"/>
    <w:rsid w:val="00C66EE4"/>
    <w:rsid w:val="00C66FF8"/>
    <w:rsid w:val="00C67732"/>
    <w:rsid w:val="00C6785C"/>
    <w:rsid w:val="00C67AB6"/>
    <w:rsid w:val="00C67D3B"/>
    <w:rsid w:val="00C700E7"/>
    <w:rsid w:val="00C70398"/>
    <w:rsid w:val="00C70470"/>
    <w:rsid w:val="00C70518"/>
    <w:rsid w:val="00C7065D"/>
    <w:rsid w:val="00C70AD4"/>
    <w:rsid w:val="00C70FB6"/>
    <w:rsid w:val="00C715C9"/>
    <w:rsid w:val="00C71666"/>
    <w:rsid w:val="00C7196A"/>
    <w:rsid w:val="00C719DB"/>
    <w:rsid w:val="00C719DE"/>
    <w:rsid w:val="00C71B0B"/>
    <w:rsid w:val="00C71C6F"/>
    <w:rsid w:val="00C71D17"/>
    <w:rsid w:val="00C71F88"/>
    <w:rsid w:val="00C72272"/>
    <w:rsid w:val="00C72DB2"/>
    <w:rsid w:val="00C73215"/>
    <w:rsid w:val="00C73362"/>
    <w:rsid w:val="00C733C8"/>
    <w:rsid w:val="00C73735"/>
    <w:rsid w:val="00C73931"/>
    <w:rsid w:val="00C73D27"/>
    <w:rsid w:val="00C73D42"/>
    <w:rsid w:val="00C73E0A"/>
    <w:rsid w:val="00C74483"/>
    <w:rsid w:val="00C7479E"/>
    <w:rsid w:val="00C7598C"/>
    <w:rsid w:val="00C75EA5"/>
    <w:rsid w:val="00C761CB"/>
    <w:rsid w:val="00C7626F"/>
    <w:rsid w:val="00C762DC"/>
    <w:rsid w:val="00C7653B"/>
    <w:rsid w:val="00C769D5"/>
    <w:rsid w:val="00C76DA1"/>
    <w:rsid w:val="00C771E9"/>
    <w:rsid w:val="00C77236"/>
    <w:rsid w:val="00C773C7"/>
    <w:rsid w:val="00C775E7"/>
    <w:rsid w:val="00C778EE"/>
    <w:rsid w:val="00C77FB6"/>
    <w:rsid w:val="00C8032D"/>
    <w:rsid w:val="00C804E2"/>
    <w:rsid w:val="00C80879"/>
    <w:rsid w:val="00C80A11"/>
    <w:rsid w:val="00C80B26"/>
    <w:rsid w:val="00C80EE2"/>
    <w:rsid w:val="00C816FD"/>
    <w:rsid w:val="00C817F4"/>
    <w:rsid w:val="00C81CDC"/>
    <w:rsid w:val="00C81D55"/>
    <w:rsid w:val="00C8259C"/>
    <w:rsid w:val="00C82628"/>
    <w:rsid w:val="00C82F1F"/>
    <w:rsid w:val="00C83135"/>
    <w:rsid w:val="00C836CA"/>
    <w:rsid w:val="00C83BA4"/>
    <w:rsid w:val="00C83D54"/>
    <w:rsid w:val="00C83DA7"/>
    <w:rsid w:val="00C83EFA"/>
    <w:rsid w:val="00C847DD"/>
    <w:rsid w:val="00C84B91"/>
    <w:rsid w:val="00C855D2"/>
    <w:rsid w:val="00C85652"/>
    <w:rsid w:val="00C858DC"/>
    <w:rsid w:val="00C8590A"/>
    <w:rsid w:val="00C86035"/>
    <w:rsid w:val="00C86661"/>
    <w:rsid w:val="00C8680E"/>
    <w:rsid w:val="00C86BA3"/>
    <w:rsid w:val="00C870C8"/>
    <w:rsid w:val="00C871B4"/>
    <w:rsid w:val="00C8725A"/>
    <w:rsid w:val="00C87353"/>
    <w:rsid w:val="00C877D0"/>
    <w:rsid w:val="00C87ED1"/>
    <w:rsid w:val="00C9004C"/>
    <w:rsid w:val="00C9026C"/>
    <w:rsid w:val="00C909E0"/>
    <w:rsid w:val="00C90B28"/>
    <w:rsid w:val="00C90B3F"/>
    <w:rsid w:val="00C90EB5"/>
    <w:rsid w:val="00C9132F"/>
    <w:rsid w:val="00C915DD"/>
    <w:rsid w:val="00C915E2"/>
    <w:rsid w:val="00C91784"/>
    <w:rsid w:val="00C91B7C"/>
    <w:rsid w:val="00C91DBE"/>
    <w:rsid w:val="00C91DFB"/>
    <w:rsid w:val="00C92067"/>
    <w:rsid w:val="00C92560"/>
    <w:rsid w:val="00C9298C"/>
    <w:rsid w:val="00C93046"/>
    <w:rsid w:val="00C930F8"/>
    <w:rsid w:val="00C93D5C"/>
    <w:rsid w:val="00C93D5F"/>
    <w:rsid w:val="00C94284"/>
    <w:rsid w:val="00C943E8"/>
    <w:rsid w:val="00C94601"/>
    <w:rsid w:val="00C94606"/>
    <w:rsid w:val="00C9495C"/>
    <w:rsid w:val="00C9495F"/>
    <w:rsid w:val="00C949E2"/>
    <w:rsid w:val="00C94CE5"/>
    <w:rsid w:val="00C94D38"/>
    <w:rsid w:val="00C9519C"/>
    <w:rsid w:val="00C95235"/>
    <w:rsid w:val="00C95245"/>
    <w:rsid w:val="00C95384"/>
    <w:rsid w:val="00C9564D"/>
    <w:rsid w:val="00C9594D"/>
    <w:rsid w:val="00C96634"/>
    <w:rsid w:val="00C968E7"/>
    <w:rsid w:val="00C96A6A"/>
    <w:rsid w:val="00C96B49"/>
    <w:rsid w:val="00C9723A"/>
    <w:rsid w:val="00C97343"/>
    <w:rsid w:val="00C9746C"/>
    <w:rsid w:val="00C9751D"/>
    <w:rsid w:val="00C97ADF"/>
    <w:rsid w:val="00C97C3C"/>
    <w:rsid w:val="00CA007E"/>
    <w:rsid w:val="00CA027E"/>
    <w:rsid w:val="00CA04E2"/>
    <w:rsid w:val="00CA0690"/>
    <w:rsid w:val="00CA09D3"/>
    <w:rsid w:val="00CA1B46"/>
    <w:rsid w:val="00CA28EF"/>
    <w:rsid w:val="00CA29E4"/>
    <w:rsid w:val="00CA2B92"/>
    <w:rsid w:val="00CA2D45"/>
    <w:rsid w:val="00CA3294"/>
    <w:rsid w:val="00CA3406"/>
    <w:rsid w:val="00CA344B"/>
    <w:rsid w:val="00CA38CE"/>
    <w:rsid w:val="00CA3AF2"/>
    <w:rsid w:val="00CA3F57"/>
    <w:rsid w:val="00CA4CF7"/>
    <w:rsid w:val="00CA4F91"/>
    <w:rsid w:val="00CA5056"/>
    <w:rsid w:val="00CA57A8"/>
    <w:rsid w:val="00CA5B08"/>
    <w:rsid w:val="00CA62A7"/>
    <w:rsid w:val="00CA62D2"/>
    <w:rsid w:val="00CA65AD"/>
    <w:rsid w:val="00CA672D"/>
    <w:rsid w:val="00CA672F"/>
    <w:rsid w:val="00CA69C2"/>
    <w:rsid w:val="00CA6ACB"/>
    <w:rsid w:val="00CA742C"/>
    <w:rsid w:val="00CA759B"/>
    <w:rsid w:val="00CA77CE"/>
    <w:rsid w:val="00CA7C6A"/>
    <w:rsid w:val="00CA7E6B"/>
    <w:rsid w:val="00CA7F2A"/>
    <w:rsid w:val="00CB002D"/>
    <w:rsid w:val="00CB02E8"/>
    <w:rsid w:val="00CB0305"/>
    <w:rsid w:val="00CB0408"/>
    <w:rsid w:val="00CB04C3"/>
    <w:rsid w:val="00CB0669"/>
    <w:rsid w:val="00CB07BE"/>
    <w:rsid w:val="00CB09D3"/>
    <w:rsid w:val="00CB0A30"/>
    <w:rsid w:val="00CB0CD3"/>
    <w:rsid w:val="00CB190F"/>
    <w:rsid w:val="00CB1A67"/>
    <w:rsid w:val="00CB1BAC"/>
    <w:rsid w:val="00CB1D66"/>
    <w:rsid w:val="00CB2657"/>
    <w:rsid w:val="00CB26DF"/>
    <w:rsid w:val="00CB2EF8"/>
    <w:rsid w:val="00CB302C"/>
    <w:rsid w:val="00CB311A"/>
    <w:rsid w:val="00CB378A"/>
    <w:rsid w:val="00CB39F0"/>
    <w:rsid w:val="00CB3F79"/>
    <w:rsid w:val="00CB4059"/>
    <w:rsid w:val="00CB442F"/>
    <w:rsid w:val="00CB46F3"/>
    <w:rsid w:val="00CB4738"/>
    <w:rsid w:val="00CB5394"/>
    <w:rsid w:val="00CB53EB"/>
    <w:rsid w:val="00CB5626"/>
    <w:rsid w:val="00CB5BBC"/>
    <w:rsid w:val="00CB5E83"/>
    <w:rsid w:val="00CB6551"/>
    <w:rsid w:val="00CB6944"/>
    <w:rsid w:val="00CB69D0"/>
    <w:rsid w:val="00CB6AA6"/>
    <w:rsid w:val="00CB72F7"/>
    <w:rsid w:val="00CB739D"/>
    <w:rsid w:val="00CB7C75"/>
    <w:rsid w:val="00CB7DF3"/>
    <w:rsid w:val="00CB7FA3"/>
    <w:rsid w:val="00CB7FB7"/>
    <w:rsid w:val="00CC00B5"/>
    <w:rsid w:val="00CC0131"/>
    <w:rsid w:val="00CC01C2"/>
    <w:rsid w:val="00CC036D"/>
    <w:rsid w:val="00CC050F"/>
    <w:rsid w:val="00CC0B83"/>
    <w:rsid w:val="00CC0C75"/>
    <w:rsid w:val="00CC0CDA"/>
    <w:rsid w:val="00CC0DBE"/>
    <w:rsid w:val="00CC0F3F"/>
    <w:rsid w:val="00CC1D95"/>
    <w:rsid w:val="00CC2098"/>
    <w:rsid w:val="00CC243C"/>
    <w:rsid w:val="00CC2766"/>
    <w:rsid w:val="00CC2BF4"/>
    <w:rsid w:val="00CC2DAC"/>
    <w:rsid w:val="00CC2E67"/>
    <w:rsid w:val="00CC3180"/>
    <w:rsid w:val="00CC31A0"/>
    <w:rsid w:val="00CC35A6"/>
    <w:rsid w:val="00CC37A7"/>
    <w:rsid w:val="00CC38BB"/>
    <w:rsid w:val="00CC3994"/>
    <w:rsid w:val="00CC3AAD"/>
    <w:rsid w:val="00CC3BF7"/>
    <w:rsid w:val="00CC3C6E"/>
    <w:rsid w:val="00CC3DFC"/>
    <w:rsid w:val="00CC3F6E"/>
    <w:rsid w:val="00CC4FF6"/>
    <w:rsid w:val="00CC535F"/>
    <w:rsid w:val="00CC5592"/>
    <w:rsid w:val="00CC563A"/>
    <w:rsid w:val="00CC584F"/>
    <w:rsid w:val="00CC58C3"/>
    <w:rsid w:val="00CC5EAC"/>
    <w:rsid w:val="00CC5FD8"/>
    <w:rsid w:val="00CC643F"/>
    <w:rsid w:val="00CC678F"/>
    <w:rsid w:val="00CC7287"/>
    <w:rsid w:val="00CC78AF"/>
    <w:rsid w:val="00CC7994"/>
    <w:rsid w:val="00CC7A83"/>
    <w:rsid w:val="00CC7AAB"/>
    <w:rsid w:val="00CC7BD9"/>
    <w:rsid w:val="00CD0B13"/>
    <w:rsid w:val="00CD0CDE"/>
    <w:rsid w:val="00CD1005"/>
    <w:rsid w:val="00CD17DE"/>
    <w:rsid w:val="00CD19CB"/>
    <w:rsid w:val="00CD1B0C"/>
    <w:rsid w:val="00CD202E"/>
    <w:rsid w:val="00CD21B8"/>
    <w:rsid w:val="00CD2793"/>
    <w:rsid w:val="00CD2811"/>
    <w:rsid w:val="00CD2937"/>
    <w:rsid w:val="00CD2999"/>
    <w:rsid w:val="00CD29E6"/>
    <w:rsid w:val="00CD2CA3"/>
    <w:rsid w:val="00CD31C0"/>
    <w:rsid w:val="00CD3662"/>
    <w:rsid w:val="00CD387C"/>
    <w:rsid w:val="00CD3A70"/>
    <w:rsid w:val="00CD3CBF"/>
    <w:rsid w:val="00CD3D08"/>
    <w:rsid w:val="00CD412B"/>
    <w:rsid w:val="00CD41FF"/>
    <w:rsid w:val="00CD4201"/>
    <w:rsid w:val="00CD49FC"/>
    <w:rsid w:val="00CD4C3C"/>
    <w:rsid w:val="00CD4E84"/>
    <w:rsid w:val="00CD4EC4"/>
    <w:rsid w:val="00CD4EF7"/>
    <w:rsid w:val="00CD4F7F"/>
    <w:rsid w:val="00CD54FF"/>
    <w:rsid w:val="00CD5845"/>
    <w:rsid w:val="00CD5E55"/>
    <w:rsid w:val="00CD6229"/>
    <w:rsid w:val="00CD650F"/>
    <w:rsid w:val="00CD69F0"/>
    <w:rsid w:val="00CD6A6C"/>
    <w:rsid w:val="00CD6AC4"/>
    <w:rsid w:val="00CD6C24"/>
    <w:rsid w:val="00CD6D42"/>
    <w:rsid w:val="00CD72F6"/>
    <w:rsid w:val="00CD7B0C"/>
    <w:rsid w:val="00CD7B34"/>
    <w:rsid w:val="00CD7D50"/>
    <w:rsid w:val="00CD7DC2"/>
    <w:rsid w:val="00CD7FCA"/>
    <w:rsid w:val="00CE020A"/>
    <w:rsid w:val="00CE03FC"/>
    <w:rsid w:val="00CE0565"/>
    <w:rsid w:val="00CE0FDC"/>
    <w:rsid w:val="00CE1228"/>
    <w:rsid w:val="00CE12F5"/>
    <w:rsid w:val="00CE16AD"/>
    <w:rsid w:val="00CE19BE"/>
    <w:rsid w:val="00CE1FC4"/>
    <w:rsid w:val="00CE22D3"/>
    <w:rsid w:val="00CE2378"/>
    <w:rsid w:val="00CE26C2"/>
    <w:rsid w:val="00CE2EE7"/>
    <w:rsid w:val="00CE2F39"/>
    <w:rsid w:val="00CE3658"/>
    <w:rsid w:val="00CE3B90"/>
    <w:rsid w:val="00CE3D97"/>
    <w:rsid w:val="00CE3DF2"/>
    <w:rsid w:val="00CE4587"/>
    <w:rsid w:val="00CE468D"/>
    <w:rsid w:val="00CE47D7"/>
    <w:rsid w:val="00CE48C0"/>
    <w:rsid w:val="00CE493D"/>
    <w:rsid w:val="00CE4C2F"/>
    <w:rsid w:val="00CE4E54"/>
    <w:rsid w:val="00CE4EE9"/>
    <w:rsid w:val="00CE4FA4"/>
    <w:rsid w:val="00CE52CC"/>
    <w:rsid w:val="00CE5333"/>
    <w:rsid w:val="00CE54C4"/>
    <w:rsid w:val="00CE5781"/>
    <w:rsid w:val="00CE595B"/>
    <w:rsid w:val="00CE645A"/>
    <w:rsid w:val="00CE6C10"/>
    <w:rsid w:val="00CE6C7D"/>
    <w:rsid w:val="00CE6D96"/>
    <w:rsid w:val="00CE70AA"/>
    <w:rsid w:val="00CE783B"/>
    <w:rsid w:val="00CE784C"/>
    <w:rsid w:val="00CF02E0"/>
    <w:rsid w:val="00CF0AC5"/>
    <w:rsid w:val="00CF0B04"/>
    <w:rsid w:val="00CF0B73"/>
    <w:rsid w:val="00CF1082"/>
    <w:rsid w:val="00CF11B8"/>
    <w:rsid w:val="00CF1E60"/>
    <w:rsid w:val="00CF225B"/>
    <w:rsid w:val="00CF26B5"/>
    <w:rsid w:val="00CF2F3C"/>
    <w:rsid w:val="00CF2F4C"/>
    <w:rsid w:val="00CF2FD8"/>
    <w:rsid w:val="00CF3406"/>
    <w:rsid w:val="00CF351E"/>
    <w:rsid w:val="00CF37AF"/>
    <w:rsid w:val="00CF3A2A"/>
    <w:rsid w:val="00CF3A66"/>
    <w:rsid w:val="00CF3D52"/>
    <w:rsid w:val="00CF4269"/>
    <w:rsid w:val="00CF529B"/>
    <w:rsid w:val="00CF5683"/>
    <w:rsid w:val="00CF589D"/>
    <w:rsid w:val="00CF5B35"/>
    <w:rsid w:val="00CF5EFC"/>
    <w:rsid w:val="00CF6ECB"/>
    <w:rsid w:val="00CF750C"/>
    <w:rsid w:val="00CF768C"/>
    <w:rsid w:val="00CF77AF"/>
    <w:rsid w:val="00CF77C5"/>
    <w:rsid w:val="00CF7A7D"/>
    <w:rsid w:val="00CF7D1A"/>
    <w:rsid w:val="00CF7D68"/>
    <w:rsid w:val="00CF7DB1"/>
    <w:rsid w:val="00CF7E19"/>
    <w:rsid w:val="00CF7E33"/>
    <w:rsid w:val="00CF7F20"/>
    <w:rsid w:val="00D000B1"/>
    <w:rsid w:val="00D00240"/>
    <w:rsid w:val="00D0028B"/>
    <w:rsid w:val="00D003AB"/>
    <w:rsid w:val="00D003AC"/>
    <w:rsid w:val="00D00619"/>
    <w:rsid w:val="00D0126C"/>
    <w:rsid w:val="00D017E4"/>
    <w:rsid w:val="00D01AB4"/>
    <w:rsid w:val="00D01DE8"/>
    <w:rsid w:val="00D020FF"/>
    <w:rsid w:val="00D0219B"/>
    <w:rsid w:val="00D0262E"/>
    <w:rsid w:val="00D02990"/>
    <w:rsid w:val="00D02DB8"/>
    <w:rsid w:val="00D02E55"/>
    <w:rsid w:val="00D03167"/>
    <w:rsid w:val="00D031A4"/>
    <w:rsid w:val="00D03635"/>
    <w:rsid w:val="00D03670"/>
    <w:rsid w:val="00D03820"/>
    <w:rsid w:val="00D03A43"/>
    <w:rsid w:val="00D04376"/>
    <w:rsid w:val="00D0456C"/>
    <w:rsid w:val="00D04944"/>
    <w:rsid w:val="00D0498E"/>
    <w:rsid w:val="00D0510F"/>
    <w:rsid w:val="00D054CB"/>
    <w:rsid w:val="00D0555F"/>
    <w:rsid w:val="00D06133"/>
    <w:rsid w:val="00D063A6"/>
    <w:rsid w:val="00D06848"/>
    <w:rsid w:val="00D06AE0"/>
    <w:rsid w:val="00D06D79"/>
    <w:rsid w:val="00D06DD0"/>
    <w:rsid w:val="00D06DD1"/>
    <w:rsid w:val="00D07430"/>
    <w:rsid w:val="00D075E1"/>
    <w:rsid w:val="00D07861"/>
    <w:rsid w:val="00D07CFA"/>
    <w:rsid w:val="00D07D42"/>
    <w:rsid w:val="00D07F59"/>
    <w:rsid w:val="00D10A87"/>
    <w:rsid w:val="00D10CB6"/>
    <w:rsid w:val="00D1111D"/>
    <w:rsid w:val="00D1135F"/>
    <w:rsid w:val="00D11715"/>
    <w:rsid w:val="00D11A2F"/>
    <w:rsid w:val="00D11C83"/>
    <w:rsid w:val="00D1229E"/>
    <w:rsid w:val="00D12726"/>
    <w:rsid w:val="00D12C18"/>
    <w:rsid w:val="00D132DA"/>
    <w:rsid w:val="00D13519"/>
    <w:rsid w:val="00D1395E"/>
    <w:rsid w:val="00D139D1"/>
    <w:rsid w:val="00D13ACE"/>
    <w:rsid w:val="00D13AF9"/>
    <w:rsid w:val="00D14199"/>
    <w:rsid w:val="00D146CD"/>
    <w:rsid w:val="00D1478A"/>
    <w:rsid w:val="00D14CEA"/>
    <w:rsid w:val="00D14F5C"/>
    <w:rsid w:val="00D15860"/>
    <w:rsid w:val="00D15C7E"/>
    <w:rsid w:val="00D15D22"/>
    <w:rsid w:val="00D15DDD"/>
    <w:rsid w:val="00D16464"/>
    <w:rsid w:val="00D16699"/>
    <w:rsid w:val="00D1677A"/>
    <w:rsid w:val="00D1683D"/>
    <w:rsid w:val="00D169EE"/>
    <w:rsid w:val="00D16AB7"/>
    <w:rsid w:val="00D16D07"/>
    <w:rsid w:val="00D171B5"/>
    <w:rsid w:val="00D173C8"/>
    <w:rsid w:val="00D17C37"/>
    <w:rsid w:val="00D17F82"/>
    <w:rsid w:val="00D17FF9"/>
    <w:rsid w:val="00D2008C"/>
    <w:rsid w:val="00D200BD"/>
    <w:rsid w:val="00D2032F"/>
    <w:rsid w:val="00D20869"/>
    <w:rsid w:val="00D20979"/>
    <w:rsid w:val="00D20A65"/>
    <w:rsid w:val="00D20E6C"/>
    <w:rsid w:val="00D2132E"/>
    <w:rsid w:val="00D219E5"/>
    <w:rsid w:val="00D21BFB"/>
    <w:rsid w:val="00D21E11"/>
    <w:rsid w:val="00D21F13"/>
    <w:rsid w:val="00D22047"/>
    <w:rsid w:val="00D22080"/>
    <w:rsid w:val="00D22292"/>
    <w:rsid w:val="00D22700"/>
    <w:rsid w:val="00D2296A"/>
    <w:rsid w:val="00D23294"/>
    <w:rsid w:val="00D2357E"/>
    <w:rsid w:val="00D236A0"/>
    <w:rsid w:val="00D2393C"/>
    <w:rsid w:val="00D23B22"/>
    <w:rsid w:val="00D23E1E"/>
    <w:rsid w:val="00D23F79"/>
    <w:rsid w:val="00D2460D"/>
    <w:rsid w:val="00D24957"/>
    <w:rsid w:val="00D25000"/>
    <w:rsid w:val="00D250CA"/>
    <w:rsid w:val="00D25277"/>
    <w:rsid w:val="00D25B21"/>
    <w:rsid w:val="00D25D70"/>
    <w:rsid w:val="00D25EBC"/>
    <w:rsid w:val="00D26217"/>
    <w:rsid w:val="00D26978"/>
    <w:rsid w:val="00D26FC0"/>
    <w:rsid w:val="00D27507"/>
    <w:rsid w:val="00D27581"/>
    <w:rsid w:val="00D27613"/>
    <w:rsid w:val="00D27689"/>
    <w:rsid w:val="00D308FC"/>
    <w:rsid w:val="00D30F20"/>
    <w:rsid w:val="00D3106F"/>
    <w:rsid w:val="00D314B6"/>
    <w:rsid w:val="00D315F4"/>
    <w:rsid w:val="00D31755"/>
    <w:rsid w:val="00D31B01"/>
    <w:rsid w:val="00D31BE9"/>
    <w:rsid w:val="00D31DA5"/>
    <w:rsid w:val="00D320A2"/>
    <w:rsid w:val="00D32172"/>
    <w:rsid w:val="00D3247E"/>
    <w:rsid w:val="00D325E7"/>
    <w:rsid w:val="00D32932"/>
    <w:rsid w:val="00D336CE"/>
    <w:rsid w:val="00D33BED"/>
    <w:rsid w:val="00D33C92"/>
    <w:rsid w:val="00D33E30"/>
    <w:rsid w:val="00D33E38"/>
    <w:rsid w:val="00D33E5A"/>
    <w:rsid w:val="00D340A9"/>
    <w:rsid w:val="00D3420D"/>
    <w:rsid w:val="00D3497B"/>
    <w:rsid w:val="00D34DC3"/>
    <w:rsid w:val="00D35208"/>
    <w:rsid w:val="00D35234"/>
    <w:rsid w:val="00D35379"/>
    <w:rsid w:val="00D35EC1"/>
    <w:rsid w:val="00D35F12"/>
    <w:rsid w:val="00D36077"/>
    <w:rsid w:val="00D3650D"/>
    <w:rsid w:val="00D375F9"/>
    <w:rsid w:val="00D377C4"/>
    <w:rsid w:val="00D37990"/>
    <w:rsid w:val="00D37BD6"/>
    <w:rsid w:val="00D37F20"/>
    <w:rsid w:val="00D40027"/>
    <w:rsid w:val="00D40442"/>
    <w:rsid w:val="00D404BE"/>
    <w:rsid w:val="00D40CA6"/>
    <w:rsid w:val="00D40ED6"/>
    <w:rsid w:val="00D410AB"/>
    <w:rsid w:val="00D41267"/>
    <w:rsid w:val="00D41283"/>
    <w:rsid w:val="00D41629"/>
    <w:rsid w:val="00D41B37"/>
    <w:rsid w:val="00D41C33"/>
    <w:rsid w:val="00D41CB5"/>
    <w:rsid w:val="00D41F29"/>
    <w:rsid w:val="00D42286"/>
    <w:rsid w:val="00D4258B"/>
    <w:rsid w:val="00D42D61"/>
    <w:rsid w:val="00D43387"/>
    <w:rsid w:val="00D4391F"/>
    <w:rsid w:val="00D43E07"/>
    <w:rsid w:val="00D4430C"/>
    <w:rsid w:val="00D44EA9"/>
    <w:rsid w:val="00D450E1"/>
    <w:rsid w:val="00D4551E"/>
    <w:rsid w:val="00D4559F"/>
    <w:rsid w:val="00D459E0"/>
    <w:rsid w:val="00D45A41"/>
    <w:rsid w:val="00D45D4A"/>
    <w:rsid w:val="00D45E7E"/>
    <w:rsid w:val="00D46428"/>
    <w:rsid w:val="00D4654A"/>
    <w:rsid w:val="00D46AF1"/>
    <w:rsid w:val="00D4709D"/>
    <w:rsid w:val="00D472AE"/>
    <w:rsid w:val="00D4745C"/>
    <w:rsid w:val="00D4759A"/>
    <w:rsid w:val="00D476D3"/>
    <w:rsid w:val="00D47CF0"/>
    <w:rsid w:val="00D50100"/>
    <w:rsid w:val="00D50192"/>
    <w:rsid w:val="00D50377"/>
    <w:rsid w:val="00D50D1D"/>
    <w:rsid w:val="00D511B0"/>
    <w:rsid w:val="00D5150E"/>
    <w:rsid w:val="00D5164E"/>
    <w:rsid w:val="00D51D95"/>
    <w:rsid w:val="00D52055"/>
    <w:rsid w:val="00D521CE"/>
    <w:rsid w:val="00D529EC"/>
    <w:rsid w:val="00D52B19"/>
    <w:rsid w:val="00D5304B"/>
    <w:rsid w:val="00D53097"/>
    <w:rsid w:val="00D537BB"/>
    <w:rsid w:val="00D53908"/>
    <w:rsid w:val="00D53BED"/>
    <w:rsid w:val="00D541AB"/>
    <w:rsid w:val="00D543EA"/>
    <w:rsid w:val="00D54551"/>
    <w:rsid w:val="00D548E5"/>
    <w:rsid w:val="00D5493C"/>
    <w:rsid w:val="00D54C6D"/>
    <w:rsid w:val="00D5513C"/>
    <w:rsid w:val="00D55318"/>
    <w:rsid w:val="00D554B9"/>
    <w:rsid w:val="00D55608"/>
    <w:rsid w:val="00D5577C"/>
    <w:rsid w:val="00D55CC3"/>
    <w:rsid w:val="00D55CF4"/>
    <w:rsid w:val="00D55FC2"/>
    <w:rsid w:val="00D5673D"/>
    <w:rsid w:val="00D572A0"/>
    <w:rsid w:val="00D579C2"/>
    <w:rsid w:val="00D57B33"/>
    <w:rsid w:val="00D57BD1"/>
    <w:rsid w:val="00D57BE7"/>
    <w:rsid w:val="00D57DA9"/>
    <w:rsid w:val="00D57F65"/>
    <w:rsid w:val="00D600BB"/>
    <w:rsid w:val="00D60430"/>
    <w:rsid w:val="00D60808"/>
    <w:rsid w:val="00D60BB1"/>
    <w:rsid w:val="00D60BEE"/>
    <w:rsid w:val="00D615DE"/>
    <w:rsid w:val="00D619F5"/>
    <w:rsid w:val="00D61E38"/>
    <w:rsid w:val="00D62024"/>
    <w:rsid w:val="00D6266A"/>
    <w:rsid w:val="00D62B05"/>
    <w:rsid w:val="00D62C72"/>
    <w:rsid w:val="00D63AB8"/>
    <w:rsid w:val="00D63D12"/>
    <w:rsid w:val="00D641F7"/>
    <w:rsid w:val="00D64419"/>
    <w:rsid w:val="00D646C7"/>
    <w:rsid w:val="00D64953"/>
    <w:rsid w:val="00D65A54"/>
    <w:rsid w:val="00D65ADC"/>
    <w:rsid w:val="00D6674F"/>
    <w:rsid w:val="00D67182"/>
    <w:rsid w:val="00D67242"/>
    <w:rsid w:val="00D67695"/>
    <w:rsid w:val="00D67696"/>
    <w:rsid w:val="00D67968"/>
    <w:rsid w:val="00D67DAF"/>
    <w:rsid w:val="00D708D4"/>
    <w:rsid w:val="00D709E0"/>
    <w:rsid w:val="00D70F93"/>
    <w:rsid w:val="00D71A77"/>
    <w:rsid w:val="00D71F6C"/>
    <w:rsid w:val="00D72698"/>
    <w:rsid w:val="00D73300"/>
    <w:rsid w:val="00D73BDA"/>
    <w:rsid w:val="00D74043"/>
    <w:rsid w:val="00D74E9F"/>
    <w:rsid w:val="00D75043"/>
    <w:rsid w:val="00D751D2"/>
    <w:rsid w:val="00D75331"/>
    <w:rsid w:val="00D753E5"/>
    <w:rsid w:val="00D75A16"/>
    <w:rsid w:val="00D75D0D"/>
    <w:rsid w:val="00D75F48"/>
    <w:rsid w:val="00D7618C"/>
    <w:rsid w:val="00D762CC"/>
    <w:rsid w:val="00D766D5"/>
    <w:rsid w:val="00D76A50"/>
    <w:rsid w:val="00D76A5E"/>
    <w:rsid w:val="00D76C7C"/>
    <w:rsid w:val="00D76D24"/>
    <w:rsid w:val="00D76E06"/>
    <w:rsid w:val="00D779A3"/>
    <w:rsid w:val="00D779B9"/>
    <w:rsid w:val="00D77C93"/>
    <w:rsid w:val="00D77D28"/>
    <w:rsid w:val="00D77F69"/>
    <w:rsid w:val="00D805CA"/>
    <w:rsid w:val="00D80DB1"/>
    <w:rsid w:val="00D80DF6"/>
    <w:rsid w:val="00D80EC4"/>
    <w:rsid w:val="00D818A5"/>
    <w:rsid w:val="00D81C23"/>
    <w:rsid w:val="00D81D88"/>
    <w:rsid w:val="00D822B0"/>
    <w:rsid w:val="00D825D2"/>
    <w:rsid w:val="00D82928"/>
    <w:rsid w:val="00D8298D"/>
    <w:rsid w:val="00D82AFC"/>
    <w:rsid w:val="00D82B44"/>
    <w:rsid w:val="00D82CE0"/>
    <w:rsid w:val="00D82FBF"/>
    <w:rsid w:val="00D83235"/>
    <w:rsid w:val="00D83A21"/>
    <w:rsid w:val="00D83C73"/>
    <w:rsid w:val="00D83D86"/>
    <w:rsid w:val="00D83EA3"/>
    <w:rsid w:val="00D84120"/>
    <w:rsid w:val="00D84919"/>
    <w:rsid w:val="00D84944"/>
    <w:rsid w:val="00D84DF3"/>
    <w:rsid w:val="00D84EEB"/>
    <w:rsid w:val="00D853AE"/>
    <w:rsid w:val="00D8543D"/>
    <w:rsid w:val="00D85646"/>
    <w:rsid w:val="00D85B27"/>
    <w:rsid w:val="00D8673B"/>
    <w:rsid w:val="00D86B51"/>
    <w:rsid w:val="00D878F7"/>
    <w:rsid w:val="00D87F1F"/>
    <w:rsid w:val="00D87F70"/>
    <w:rsid w:val="00D90325"/>
    <w:rsid w:val="00D903EE"/>
    <w:rsid w:val="00D90936"/>
    <w:rsid w:val="00D90B74"/>
    <w:rsid w:val="00D90E29"/>
    <w:rsid w:val="00D90E35"/>
    <w:rsid w:val="00D90EFC"/>
    <w:rsid w:val="00D91666"/>
    <w:rsid w:val="00D91672"/>
    <w:rsid w:val="00D9196C"/>
    <w:rsid w:val="00D91ACF"/>
    <w:rsid w:val="00D91BA7"/>
    <w:rsid w:val="00D91E93"/>
    <w:rsid w:val="00D9233F"/>
    <w:rsid w:val="00D92627"/>
    <w:rsid w:val="00D92AF9"/>
    <w:rsid w:val="00D92B25"/>
    <w:rsid w:val="00D92F3D"/>
    <w:rsid w:val="00D93C6D"/>
    <w:rsid w:val="00D93D43"/>
    <w:rsid w:val="00D93E9C"/>
    <w:rsid w:val="00D93F0E"/>
    <w:rsid w:val="00D9405C"/>
    <w:rsid w:val="00D946F3"/>
    <w:rsid w:val="00D94747"/>
    <w:rsid w:val="00D94A84"/>
    <w:rsid w:val="00D94B58"/>
    <w:rsid w:val="00D94C06"/>
    <w:rsid w:val="00D950F4"/>
    <w:rsid w:val="00D95698"/>
    <w:rsid w:val="00D9580D"/>
    <w:rsid w:val="00D95857"/>
    <w:rsid w:val="00D95CA2"/>
    <w:rsid w:val="00D96350"/>
    <w:rsid w:val="00D9687E"/>
    <w:rsid w:val="00D9693B"/>
    <w:rsid w:val="00D969BA"/>
    <w:rsid w:val="00D96B1A"/>
    <w:rsid w:val="00D96C33"/>
    <w:rsid w:val="00D96EC8"/>
    <w:rsid w:val="00D96FF6"/>
    <w:rsid w:val="00D977EC"/>
    <w:rsid w:val="00D97963"/>
    <w:rsid w:val="00D97CC6"/>
    <w:rsid w:val="00D97EBE"/>
    <w:rsid w:val="00DA00C5"/>
    <w:rsid w:val="00DA01CB"/>
    <w:rsid w:val="00DA01E2"/>
    <w:rsid w:val="00DA06C7"/>
    <w:rsid w:val="00DA0829"/>
    <w:rsid w:val="00DA0E9C"/>
    <w:rsid w:val="00DA1301"/>
    <w:rsid w:val="00DA134F"/>
    <w:rsid w:val="00DA1CBA"/>
    <w:rsid w:val="00DA1E54"/>
    <w:rsid w:val="00DA22DB"/>
    <w:rsid w:val="00DA24E5"/>
    <w:rsid w:val="00DA274D"/>
    <w:rsid w:val="00DA3584"/>
    <w:rsid w:val="00DA3A6A"/>
    <w:rsid w:val="00DA3FB7"/>
    <w:rsid w:val="00DA439C"/>
    <w:rsid w:val="00DA468F"/>
    <w:rsid w:val="00DA5035"/>
    <w:rsid w:val="00DA51B8"/>
    <w:rsid w:val="00DA5550"/>
    <w:rsid w:val="00DA55E5"/>
    <w:rsid w:val="00DA55EA"/>
    <w:rsid w:val="00DA5806"/>
    <w:rsid w:val="00DA5A6E"/>
    <w:rsid w:val="00DA5A7D"/>
    <w:rsid w:val="00DA5FBE"/>
    <w:rsid w:val="00DA63E0"/>
    <w:rsid w:val="00DA65B1"/>
    <w:rsid w:val="00DA6A37"/>
    <w:rsid w:val="00DA6B3A"/>
    <w:rsid w:val="00DA6D60"/>
    <w:rsid w:val="00DA71AB"/>
    <w:rsid w:val="00DA7396"/>
    <w:rsid w:val="00DA75A8"/>
    <w:rsid w:val="00DA7C03"/>
    <w:rsid w:val="00DA7CA5"/>
    <w:rsid w:val="00DA7CDC"/>
    <w:rsid w:val="00DB094B"/>
    <w:rsid w:val="00DB0ACA"/>
    <w:rsid w:val="00DB0D9F"/>
    <w:rsid w:val="00DB0E29"/>
    <w:rsid w:val="00DB0EA4"/>
    <w:rsid w:val="00DB0F18"/>
    <w:rsid w:val="00DB1196"/>
    <w:rsid w:val="00DB1C70"/>
    <w:rsid w:val="00DB2049"/>
    <w:rsid w:val="00DB2440"/>
    <w:rsid w:val="00DB2A8E"/>
    <w:rsid w:val="00DB2F80"/>
    <w:rsid w:val="00DB316B"/>
    <w:rsid w:val="00DB337D"/>
    <w:rsid w:val="00DB3985"/>
    <w:rsid w:val="00DB3A99"/>
    <w:rsid w:val="00DB3C8A"/>
    <w:rsid w:val="00DB3CD0"/>
    <w:rsid w:val="00DB3DAA"/>
    <w:rsid w:val="00DB41FF"/>
    <w:rsid w:val="00DB425E"/>
    <w:rsid w:val="00DB50D7"/>
    <w:rsid w:val="00DB5115"/>
    <w:rsid w:val="00DB533F"/>
    <w:rsid w:val="00DB5479"/>
    <w:rsid w:val="00DB54D5"/>
    <w:rsid w:val="00DB5815"/>
    <w:rsid w:val="00DB5CDE"/>
    <w:rsid w:val="00DB5DD4"/>
    <w:rsid w:val="00DB5E61"/>
    <w:rsid w:val="00DB62CE"/>
    <w:rsid w:val="00DB64A5"/>
    <w:rsid w:val="00DB656F"/>
    <w:rsid w:val="00DB684C"/>
    <w:rsid w:val="00DB68AA"/>
    <w:rsid w:val="00DB68B7"/>
    <w:rsid w:val="00DB68BC"/>
    <w:rsid w:val="00DB68C9"/>
    <w:rsid w:val="00DB6E18"/>
    <w:rsid w:val="00DB74B0"/>
    <w:rsid w:val="00DB760B"/>
    <w:rsid w:val="00DB76AB"/>
    <w:rsid w:val="00DB7708"/>
    <w:rsid w:val="00DB7748"/>
    <w:rsid w:val="00DB7C34"/>
    <w:rsid w:val="00DB7F7D"/>
    <w:rsid w:val="00DC0059"/>
    <w:rsid w:val="00DC00F8"/>
    <w:rsid w:val="00DC01E2"/>
    <w:rsid w:val="00DC04C1"/>
    <w:rsid w:val="00DC08B4"/>
    <w:rsid w:val="00DC0F78"/>
    <w:rsid w:val="00DC1267"/>
    <w:rsid w:val="00DC1408"/>
    <w:rsid w:val="00DC1435"/>
    <w:rsid w:val="00DC1B01"/>
    <w:rsid w:val="00DC1E04"/>
    <w:rsid w:val="00DC1EDA"/>
    <w:rsid w:val="00DC1FFD"/>
    <w:rsid w:val="00DC21BF"/>
    <w:rsid w:val="00DC25A1"/>
    <w:rsid w:val="00DC2DD2"/>
    <w:rsid w:val="00DC30B9"/>
    <w:rsid w:val="00DC320E"/>
    <w:rsid w:val="00DC398D"/>
    <w:rsid w:val="00DC3C06"/>
    <w:rsid w:val="00DC3C6A"/>
    <w:rsid w:val="00DC4096"/>
    <w:rsid w:val="00DC4169"/>
    <w:rsid w:val="00DC42EC"/>
    <w:rsid w:val="00DC42FD"/>
    <w:rsid w:val="00DC453F"/>
    <w:rsid w:val="00DC484E"/>
    <w:rsid w:val="00DC48B2"/>
    <w:rsid w:val="00DC4D10"/>
    <w:rsid w:val="00DC5478"/>
    <w:rsid w:val="00DC5C83"/>
    <w:rsid w:val="00DC6E80"/>
    <w:rsid w:val="00DC70CF"/>
    <w:rsid w:val="00DC725B"/>
    <w:rsid w:val="00DC731D"/>
    <w:rsid w:val="00DC75E9"/>
    <w:rsid w:val="00DC7777"/>
    <w:rsid w:val="00DC7965"/>
    <w:rsid w:val="00DC79FC"/>
    <w:rsid w:val="00DC7AD8"/>
    <w:rsid w:val="00DC7F42"/>
    <w:rsid w:val="00DD01F7"/>
    <w:rsid w:val="00DD0623"/>
    <w:rsid w:val="00DD0762"/>
    <w:rsid w:val="00DD081C"/>
    <w:rsid w:val="00DD093C"/>
    <w:rsid w:val="00DD0B11"/>
    <w:rsid w:val="00DD0B44"/>
    <w:rsid w:val="00DD10CD"/>
    <w:rsid w:val="00DD1156"/>
    <w:rsid w:val="00DD15CC"/>
    <w:rsid w:val="00DD178C"/>
    <w:rsid w:val="00DD1BA7"/>
    <w:rsid w:val="00DD1D96"/>
    <w:rsid w:val="00DD28C7"/>
    <w:rsid w:val="00DD2C3D"/>
    <w:rsid w:val="00DD3442"/>
    <w:rsid w:val="00DD3624"/>
    <w:rsid w:val="00DD372F"/>
    <w:rsid w:val="00DD377A"/>
    <w:rsid w:val="00DD41B1"/>
    <w:rsid w:val="00DD42B7"/>
    <w:rsid w:val="00DD43FA"/>
    <w:rsid w:val="00DD4521"/>
    <w:rsid w:val="00DD483E"/>
    <w:rsid w:val="00DD4DAF"/>
    <w:rsid w:val="00DD527F"/>
    <w:rsid w:val="00DD576C"/>
    <w:rsid w:val="00DD5EE3"/>
    <w:rsid w:val="00DD5FBD"/>
    <w:rsid w:val="00DD6066"/>
    <w:rsid w:val="00DD60AE"/>
    <w:rsid w:val="00DD619C"/>
    <w:rsid w:val="00DD6230"/>
    <w:rsid w:val="00DD647C"/>
    <w:rsid w:val="00DD68E3"/>
    <w:rsid w:val="00DD691D"/>
    <w:rsid w:val="00DD6CAD"/>
    <w:rsid w:val="00DD6F1A"/>
    <w:rsid w:val="00DD7308"/>
    <w:rsid w:val="00DD74AF"/>
    <w:rsid w:val="00DD773B"/>
    <w:rsid w:val="00DD7749"/>
    <w:rsid w:val="00DD7830"/>
    <w:rsid w:val="00DD7D97"/>
    <w:rsid w:val="00DD7ED2"/>
    <w:rsid w:val="00DE125E"/>
    <w:rsid w:val="00DE14AF"/>
    <w:rsid w:val="00DE1646"/>
    <w:rsid w:val="00DE17A5"/>
    <w:rsid w:val="00DE1E79"/>
    <w:rsid w:val="00DE2784"/>
    <w:rsid w:val="00DE29AC"/>
    <w:rsid w:val="00DE2B38"/>
    <w:rsid w:val="00DE35BF"/>
    <w:rsid w:val="00DE3714"/>
    <w:rsid w:val="00DE37E9"/>
    <w:rsid w:val="00DE3A63"/>
    <w:rsid w:val="00DE3E93"/>
    <w:rsid w:val="00DE3F35"/>
    <w:rsid w:val="00DE3FEE"/>
    <w:rsid w:val="00DE44D1"/>
    <w:rsid w:val="00DE4839"/>
    <w:rsid w:val="00DE4BBE"/>
    <w:rsid w:val="00DE4D83"/>
    <w:rsid w:val="00DE5B11"/>
    <w:rsid w:val="00DE5ED1"/>
    <w:rsid w:val="00DE67B1"/>
    <w:rsid w:val="00DE67B7"/>
    <w:rsid w:val="00DE6E10"/>
    <w:rsid w:val="00DE6F08"/>
    <w:rsid w:val="00DE714F"/>
    <w:rsid w:val="00DE76AC"/>
    <w:rsid w:val="00DE7966"/>
    <w:rsid w:val="00DE7A2A"/>
    <w:rsid w:val="00DF0125"/>
    <w:rsid w:val="00DF01F5"/>
    <w:rsid w:val="00DF0592"/>
    <w:rsid w:val="00DF0B01"/>
    <w:rsid w:val="00DF0F43"/>
    <w:rsid w:val="00DF1075"/>
    <w:rsid w:val="00DF1274"/>
    <w:rsid w:val="00DF1A9E"/>
    <w:rsid w:val="00DF1B73"/>
    <w:rsid w:val="00DF1D39"/>
    <w:rsid w:val="00DF2671"/>
    <w:rsid w:val="00DF27AA"/>
    <w:rsid w:val="00DF2C54"/>
    <w:rsid w:val="00DF2FDE"/>
    <w:rsid w:val="00DF3006"/>
    <w:rsid w:val="00DF3122"/>
    <w:rsid w:val="00DF314D"/>
    <w:rsid w:val="00DF34F5"/>
    <w:rsid w:val="00DF36E0"/>
    <w:rsid w:val="00DF3DE3"/>
    <w:rsid w:val="00DF401D"/>
    <w:rsid w:val="00DF42A0"/>
    <w:rsid w:val="00DF4411"/>
    <w:rsid w:val="00DF448B"/>
    <w:rsid w:val="00DF4F0F"/>
    <w:rsid w:val="00DF54D7"/>
    <w:rsid w:val="00DF5B0D"/>
    <w:rsid w:val="00DF644C"/>
    <w:rsid w:val="00DF65B6"/>
    <w:rsid w:val="00DF6760"/>
    <w:rsid w:val="00DF6970"/>
    <w:rsid w:val="00DF6A17"/>
    <w:rsid w:val="00DF6A9E"/>
    <w:rsid w:val="00DF6B1F"/>
    <w:rsid w:val="00DF6D30"/>
    <w:rsid w:val="00DF6F85"/>
    <w:rsid w:val="00DF7045"/>
    <w:rsid w:val="00DF75D6"/>
    <w:rsid w:val="00DF7863"/>
    <w:rsid w:val="00DF7957"/>
    <w:rsid w:val="00E001AE"/>
    <w:rsid w:val="00E00F5B"/>
    <w:rsid w:val="00E01399"/>
    <w:rsid w:val="00E0142C"/>
    <w:rsid w:val="00E01590"/>
    <w:rsid w:val="00E016AA"/>
    <w:rsid w:val="00E018A0"/>
    <w:rsid w:val="00E0210A"/>
    <w:rsid w:val="00E0230B"/>
    <w:rsid w:val="00E0261A"/>
    <w:rsid w:val="00E02A25"/>
    <w:rsid w:val="00E02AD8"/>
    <w:rsid w:val="00E02B58"/>
    <w:rsid w:val="00E02B79"/>
    <w:rsid w:val="00E02B8B"/>
    <w:rsid w:val="00E02BDB"/>
    <w:rsid w:val="00E02E26"/>
    <w:rsid w:val="00E02F5F"/>
    <w:rsid w:val="00E037BB"/>
    <w:rsid w:val="00E0390D"/>
    <w:rsid w:val="00E03B5B"/>
    <w:rsid w:val="00E03DF5"/>
    <w:rsid w:val="00E03EF8"/>
    <w:rsid w:val="00E04200"/>
    <w:rsid w:val="00E0430B"/>
    <w:rsid w:val="00E046E4"/>
    <w:rsid w:val="00E04B5E"/>
    <w:rsid w:val="00E05168"/>
    <w:rsid w:val="00E051FC"/>
    <w:rsid w:val="00E05272"/>
    <w:rsid w:val="00E058FF"/>
    <w:rsid w:val="00E05FDC"/>
    <w:rsid w:val="00E06304"/>
    <w:rsid w:val="00E06341"/>
    <w:rsid w:val="00E06898"/>
    <w:rsid w:val="00E06BEF"/>
    <w:rsid w:val="00E075B2"/>
    <w:rsid w:val="00E077F0"/>
    <w:rsid w:val="00E07D57"/>
    <w:rsid w:val="00E100AA"/>
    <w:rsid w:val="00E1127E"/>
    <w:rsid w:val="00E11416"/>
    <w:rsid w:val="00E11536"/>
    <w:rsid w:val="00E11962"/>
    <w:rsid w:val="00E119DD"/>
    <w:rsid w:val="00E11AFD"/>
    <w:rsid w:val="00E11EA9"/>
    <w:rsid w:val="00E1297F"/>
    <w:rsid w:val="00E12D51"/>
    <w:rsid w:val="00E12F86"/>
    <w:rsid w:val="00E132F5"/>
    <w:rsid w:val="00E13D14"/>
    <w:rsid w:val="00E13D19"/>
    <w:rsid w:val="00E14062"/>
    <w:rsid w:val="00E140A9"/>
    <w:rsid w:val="00E14171"/>
    <w:rsid w:val="00E14342"/>
    <w:rsid w:val="00E150C6"/>
    <w:rsid w:val="00E150FA"/>
    <w:rsid w:val="00E150FE"/>
    <w:rsid w:val="00E154DC"/>
    <w:rsid w:val="00E15B60"/>
    <w:rsid w:val="00E15BEE"/>
    <w:rsid w:val="00E15EF1"/>
    <w:rsid w:val="00E15F80"/>
    <w:rsid w:val="00E16167"/>
    <w:rsid w:val="00E16EA1"/>
    <w:rsid w:val="00E1718F"/>
    <w:rsid w:val="00E171E6"/>
    <w:rsid w:val="00E17A7A"/>
    <w:rsid w:val="00E17BBA"/>
    <w:rsid w:val="00E17C24"/>
    <w:rsid w:val="00E17F3E"/>
    <w:rsid w:val="00E200E7"/>
    <w:rsid w:val="00E2040D"/>
    <w:rsid w:val="00E205CB"/>
    <w:rsid w:val="00E20984"/>
    <w:rsid w:val="00E20C7F"/>
    <w:rsid w:val="00E20C8B"/>
    <w:rsid w:val="00E20CDB"/>
    <w:rsid w:val="00E20EE9"/>
    <w:rsid w:val="00E2105E"/>
    <w:rsid w:val="00E21391"/>
    <w:rsid w:val="00E21695"/>
    <w:rsid w:val="00E21804"/>
    <w:rsid w:val="00E21C51"/>
    <w:rsid w:val="00E21CD5"/>
    <w:rsid w:val="00E222FD"/>
    <w:rsid w:val="00E223F2"/>
    <w:rsid w:val="00E22655"/>
    <w:rsid w:val="00E2280D"/>
    <w:rsid w:val="00E22870"/>
    <w:rsid w:val="00E22B9D"/>
    <w:rsid w:val="00E234D6"/>
    <w:rsid w:val="00E23994"/>
    <w:rsid w:val="00E23DDB"/>
    <w:rsid w:val="00E24971"/>
    <w:rsid w:val="00E24B3A"/>
    <w:rsid w:val="00E24BF0"/>
    <w:rsid w:val="00E24DA8"/>
    <w:rsid w:val="00E25560"/>
    <w:rsid w:val="00E259FC"/>
    <w:rsid w:val="00E25D18"/>
    <w:rsid w:val="00E25DAB"/>
    <w:rsid w:val="00E25F22"/>
    <w:rsid w:val="00E26441"/>
    <w:rsid w:val="00E264CA"/>
    <w:rsid w:val="00E26619"/>
    <w:rsid w:val="00E26749"/>
    <w:rsid w:val="00E268B2"/>
    <w:rsid w:val="00E27205"/>
    <w:rsid w:val="00E2766D"/>
    <w:rsid w:val="00E277C5"/>
    <w:rsid w:val="00E27AA9"/>
    <w:rsid w:val="00E3001E"/>
    <w:rsid w:val="00E3034E"/>
    <w:rsid w:val="00E30514"/>
    <w:rsid w:val="00E306DB"/>
    <w:rsid w:val="00E30872"/>
    <w:rsid w:val="00E30B64"/>
    <w:rsid w:val="00E30D3A"/>
    <w:rsid w:val="00E30F03"/>
    <w:rsid w:val="00E30F8A"/>
    <w:rsid w:val="00E3178F"/>
    <w:rsid w:val="00E31A1B"/>
    <w:rsid w:val="00E31B16"/>
    <w:rsid w:val="00E31D3D"/>
    <w:rsid w:val="00E31DCA"/>
    <w:rsid w:val="00E32396"/>
    <w:rsid w:val="00E3281A"/>
    <w:rsid w:val="00E32A78"/>
    <w:rsid w:val="00E32D52"/>
    <w:rsid w:val="00E33353"/>
    <w:rsid w:val="00E335D3"/>
    <w:rsid w:val="00E33725"/>
    <w:rsid w:val="00E33DA2"/>
    <w:rsid w:val="00E3426B"/>
    <w:rsid w:val="00E3435F"/>
    <w:rsid w:val="00E34838"/>
    <w:rsid w:val="00E3489A"/>
    <w:rsid w:val="00E34930"/>
    <w:rsid w:val="00E34D5F"/>
    <w:rsid w:val="00E34F63"/>
    <w:rsid w:val="00E356D0"/>
    <w:rsid w:val="00E3616A"/>
    <w:rsid w:val="00E36289"/>
    <w:rsid w:val="00E364A7"/>
    <w:rsid w:val="00E36551"/>
    <w:rsid w:val="00E365A2"/>
    <w:rsid w:val="00E36D4F"/>
    <w:rsid w:val="00E37CCF"/>
    <w:rsid w:val="00E37D07"/>
    <w:rsid w:val="00E4034F"/>
    <w:rsid w:val="00E40467"/>
    <w:rsid w:val="00E40670"/>
    <w:rsid w:val="00E4091D"/>
    <w:rsid w:val="00E409DD"/>
    <w:rsid w:val="00E40ECD"/>
    <w:rsid w:val="00E40F1D"/>
    <w:rsid w:val="00E4142C"/>
    <w:rsid w:val="00E4151B"/>
    <w:rsid w:val="00E4155D"/>
    <w:rsid w:val="00E41B4A"/>
    <w:rsid w:val="00E41E59"/>
    <w:rsid w:val="00E42934"/>
    <w:rsid w:val="00E42BC8"/>
    <w:rsid w:val="00E42D14"/>
    <w:rsid w:val="00E43B02"/>
    <w:rsid w:val="00E4405F"/>
    <w:rsid w:val="00E44472"/>
    <w:rsid w:val="00E4462D"/>
    <w:rsid w:val="00E44AE4"/>
    <w:rsid w:val="00E44FB4"/>
    <w:rsid w:val="00E4514B"/>
    <w:rsid w:val="00E4533E"/>
    <w:rsid w:val="00E45627"/>
    <w:rsid w:val="00E45675"/>
    <w:rsid w:val="00E459F8"/>
    <w:rsid w:val="00E45ABA"/>
    <w:rsid w:val="00E45AC1"/>
    <w:rsid w:val="00E45AF4"/>
    <w:rsid w:val="00E45F15"/>
    <w:rsid w:val="00E462BA"/>
    <w:rsid w:val="00E46606"/>
    <w:rsid w:val="00E46888"/>
    <w:rsid w:val="00E46BAE"/>
    <w:rsid w:val="00E46BC8"/>
    <w:rsid w:val="00E474CB"/>
    <w:rsid w:val="00E4774B"/>
    <w:rsid w:val="00E47911"/>
    <w:rsid w:val="00E47BA5"/>
    <w:rsid w:val="00E47C7D"/>
    <w:rsid w:val="00E47CA1"/>
    <w:rsid w:val="00E50053"/>
    <w:rsid w:val="00E50104"/>
    <w:rsid w:val="00E5056E"/>
    <w:rsid w:val="00E50691"/>
    <w:rsid w:val="00E50967"/>
    <w:rsid w:val="00E50ADB"/>
    <w:rsid w:val="00E51189"/>
    <w:rsid w:val="00E513CC"/>
    <w:rsid w:val="00E5195E"/>
    <w:rsid w:val="00E51E3F"/>
    <w:rsid w:val="00E52B01"/>
    <w:rsid w:val="00E52FCA"/>
    <w:rsid w:val="00E53603"/>
    <w:rsid w:val="00E536DE"/>
    <w:rsid w:val="00E539F1"/>
    <w:rsid w:val="00E53FF2"/>
    <w:rsid w:val="00E541F2"/>
    <w:rsid w:val="00E5423B"/>
    <w:rsid w:val="00E5442D"/>
    <w:rsid w:val="00E547A8"/>
    <w:rsid w:val="00E547E3"/>
    <w:rsid w:val="00E549C6"/>
    <w:rsid w:val="00E54C83"/>
    <w:rsid w:val="00E55333"/>
    <w:rsid w:val="00E55D5A"/>
    <w:rsid w:val="00E55DBB"/>
    <w:rsid w:val="00E55E22"/>
    <w:rsid w:val="00E55F65"/>
    <w:rsid w:val="00E55F7F"/>
    <w:rsid w:val="00E5646D"/>
    <w:rsid w:val="00E564D2"/>
    <w:rsid w:val="00E568E4"/>
    <w:rsid w:val="00E56AA4"/>
    <w:rsid w:val="00E5750B"/>
    <w:rsid w:val="00E57559"/>
    <w:rsid w:val="00E57653"/>
    <w:rsid w:val="00E576B7"/>
    <w:rsid w:val="00E578B4"/>
    <w:rsid w:val="00E57A26"/>
    <w:rsid w:val="00E57E90"/>
    <w:rsid w:val="00E60208"/>
    <w:rsid w:val="00E6058E"/>
    <w:rsid w:val="00E60864"/>
    <w:rsid w:val="00E610A0"/>
    <w:rsid w:val="00E611B7"/>
    <w:rsid w:val="00E61566"/>
    <w:rsid w:val="00E61635"/>
    <w:rsid w:val="00E61E2D"/>
    <w:rsid w:val="00E62132"/>
    <w:rsid w:val="00E622D5"/>
    <w:rsid w:val="00E627DB"/>
    <w:rsid w:val="00E62811"/>
    <w:rsid w:val="00E62A80"/>
    <w:rsid w:val="00E62E87"/>
    <w:rsid w:val="00E6343A"/>
    <w:rsid w:val="00E634A6"/>
    <w:rsid w:val="00E635C3"/>
    <w:rsid w:val="00E635CB"/>
    <w:rsid w:val="00E63680"/>
    <w:rsid w:val="00E63811"/>
    <w:rsid w:val="00E639C1"/>
    <w:rsid w:val="00E63AFC"/>
    <w:rsid w:val="00E63E67"/>
    <w:rsid w:val="00E6408C"/>
    <w:rsid w:val="00E64285"/>
    <w:rsid w:val="00E64527"/>
    <w:rsid w:val="00E6497F"/>
    <w:rsid w:val="00E64F95"/>
    <w:rsid w:val="00E651B1"/>
    <w:rsid w:val="00E65355"/>
    <w:rsid w:val="00E654DC"/>
    <w:rsid w:val="00E6560E"/>
    <w:rsid w:val="00E65610"/>
    <w:rsid w:val="00E65712"/>
    <w:rsid w:val="00E65D6C"/>
    <w:rsid w:val="00E65F15"/>
    <w:rsid w:val="00E66053"/>
    <w:rsid w:val="00E66515"/>
    <w:rsid w:val="00E66542"/>
    <w:rsid w:val="00E66ACA"/>
    <w:rsid w:val="00E66EB8"/>
    <w:rsid w:val="00E67253"/>
    <w:rsid w:val="00E6775D"/>
    <w:rsid w:val="00E67CB1"/>
    <w:rsid w:val="00E67DF6"/>
    <w:rsid w:val="00E7009D"/>
    <w:rsid w:val="00E70524"/>
    <w:rsid w:val="00E70AB5"/>
    <w:rsid w:val="00E70C01"/>
    <w:rsid w:val="00E71319"/>
    <w:rsid w:val="00E71AEC"/>
    <w:rsid w:val="00E71C64"/>
    <w:rsid w:val="00E71E70"/>
    <w:rsid w:val="00E71E92"/>
    <w:rsid w:val="00E7205F"/>
    <w:rsid w:val="00E7224A"/>
    <w:rsid w:val="00E72580"/>
    <w:rsid w:val="00E72EC3"/>
    <w:rsid w:val="00E730EF"/>
    <w:rsid w:val="00E7317E"/>
    <w:rsid w:val="00E73591"/>
    <w:rsid w:val="00E7359B"/>
    <w:rsid w:val="00E73C1E"/>
    <w:rsid w:val="00E73E7D"/>
    <w:rsid w:val="00E743BD"/>
    <w:rsid w:val="00E74787"/>
    <w:rsid w:val="00E74830"/>
    <w:rsid w:val="00E74AC8"/>
    <w:rsid w:val="00E74B2F"/>
    <w:rsid w:val="00E74FA2"/>
    <w:rsid w:val="00E7583C"/>
    <w:rsid w:val="00E761E8"/>
    <w:rsid w:val="00E76201"/>
    <w:rsid w:val="00E76B80"/>
    <w:rsid w:val="00E770D6"/>
    <w:rsid w:val="00E773E3"/>
    <w:rsid w:val="00E77A09"/>
    <w:rsid w:val="00E77B48"/>
    <w:rsid w:val="00E77CB7"/>
    <w:rsid w:val="00E809DC"/>
    <w:rsid w:val="00E80DD3"/>
    <w:rsid w:val="00E80EB6"/>
    <w:rsid w:val="00E81305"/>
    <w:rsid w:val="00E81662"/>
    <w:rsid w:val="00E8193B"/>
    <w:rsid w:val="00E81C30"/>
    <w:rsid w:val="00E81E71"/>
    <w:rsid w:val="00E82349"/>
    <w:rsid w:val="00E82839"/>
    <w:rsid w:val="00E82CA6"/>
    <w:rsid w:val="00E8340E"/>
    <w:rsid w:val="00E835FE"/>
    <w:rsid w:val="00E8399B"/>
    <w:rsid w:val="00E83C8D"/>
    <w:rsid w:val="00E83FC5"/>
    <w:rsid w:val="00E84037"/>
    <w:rsid w:val="00E845F2"/>
    <w:rsid w:val="00E85C70"/>
    <w:rsid w:val="00E86529"/>
    <w:rsid w:val="00E86654"/>
    <w:rsid w:val="00E8667B"/>
    <w:rsid w:val="00E86838"/>
    <w:rsid w:val="00E872A2"/>
    <w:rsid w:val="00E872BC"/>
    <w:rsid w:val="00E875BB"/>
    <w:rsid w:val="00E876F8"/>
    <w:rsid w:val="00E87BF4"/>
    <w:rsid w:val="00E87EA2"/>
    <w:rsid w:val="00E87F80"/>
    <w:rsid w:val="00E90EFD"/>
    <w:rsid w:val="00E90F44"/>
    <w:rsid w:val="00E91355"/>
    <w:rsid w:val="00E913CA"/>
    <w:rsid w:val="00E917CE"/>
    <w:rsid w:val="00E9259E"/>
    <w:rsid w:val="00E92CBE"/>
    <w:rsid w:val="00E9307A"/>
    <w:rsid w:val="00E93185"/>
    <w:rsid w:val="00E93555"/>
    <w:rsid w:val="00E9358E"/>
    <w:rsid w:val="00E945DC"/>
    <w:rsid w:val="00E94DE6"/>
    <w:rsid w:val="00E958A9"/>
    <w:rsid w:val="00E959F9"/>
    <w:rsid w:val="00E95ABE"/>
    <w:rsid w:val="00E95BC0"/>
    <w:rsid w:val="00E95C21"/>
    <w:rsid w:val="00E96552"/>
    <w:rsid w:val="00E966E0"/>
    <w:rsid w:val="00E96919"/>
    <w:rsid w:val="00E96A04"/>
    <w:rsid w:val="00E96CA3"/>
    <w:rsid w:val="00E971D1"/>
    <w:rsid w:val="00E97446"/>
    <w:rsid w:val="00E975C3"/>
    <w:rsid w:val="00E97798"/>
    <w:rsid w:val="00E979C8"/>
    <w:rsid w:val="00E97C0E"/>
    <w:rsid w:val="00EA00C2"/>
    <w:rsid w:val="00EA0294"/>
    <w:rsid w:val="00EA0508"/>
    <w:rsid w:val="00EA0AD3"/>
    <w:rsid w:val="00EA15A6"/>
    <w:rsid w:val="00EA16A7"/>
    <w:rsid w:val="00EA16FB"/>
    <w:rsid w:val="00EA18DE"/>
    <w:rsid w:val="00EA1A92"/>
    <w:rsid w:val="00EA1E42"/>
    <w:rsid w:val="00EA1EE8"/>
    <w:rsid w:val="00EA21B5"/>
    <w:rsid w:val="00EA24F4"/>
    <w:rsid w:val="00EA343E"/>
    <w:rsid w:val="00EA34AC"/>
    <w:rsid w:val="00EA3A77"/>
    <w:rsid w:val="00EA3DAA"/>
    <w:rsid w:val="00EA3E16"/>
    <w:rsid w:val="00EA4100"/>
    <w:rsid w:val="00EA4782"/>
    <w:rsid w:val="00EA4A13"/>
    <w:rsid w:val="00EA51E4"/>
    <w:rsid w:val="00EA583C"/>
    <w:rsid w:val="00EA5B14"/>
    <w:rsid w:val="00EA5C34"/>
    <w:rsid w:val="00EA5CB7"/>
    <w:rsid w:val="00EA5DC3"/>
    <w:rsid w:val="00EA6070"/>
    <w:rsid w:val="00EA6375"/>
    <w:rsid w:val="00EA647E"/>
    <w:rsid w:val="00EA6800"/>
    <w:rsid w:val="00EA6929"/>
    <w:rsid w:val="00EA6EAC"/>
    <w:rsid w:val="00EA712D"/>
    <w:rsid w:val="00EA7B5B"/>
    <w:rsid w:val="00EA7CA6"/>
    <w:rsid w:val="00EA7E56"/>
    <w:rsid w:val="00EA7EE5"/>
    <w:rsid w:val="00EA7FB9"/>
    <w:rsid w:val="00EB017B"/>
    <w:rsid w:val="00EB023A"/>
    <w:rsid w:val="00EB0478"/>
    <w:rsid w:val="00EB0832"/>
    <w:rsid w:val="00EB0A31"/>
    <w:rsid w:val="00EB1087"/>
    <w:rsid w:val="00EB1F8D"/>
    <w:rsid w:val="00EB2924"/>
    <w:rsid w:val="00EB31C3"/>
    <w:rsid w:val="00EB3B04"/>
    <w:rsid w:val="00EB4379"/>
    <w:rsid w:val="00EB4C60"/>
    <w:rsid w:val="00EB4FD2"/>
    <w:rsid w:val="00EB5011"/>
    <w:rsid w:val="00EB50A1"/>
    <w:rsid w:val="00EB5737"/>
    <w:rsid w:val="00EB5E30"/>
    <w:rsid w:val="00EB6181"/>
    <w:rsid w:val="00EB666C"/>
    <w:rsid w:val="00EB6A4E"/>
    <w:rsid w:val="00EB6E6C"/>
    <w:rsid w:val="00EB7173"/>
    <w:rsid w:val="00EB73DA"/>
    <w:rsid w:val="00EB786D"/>
    <w:rsid w:val="00EB7C9A"/>
    <w:rsid w:val="00EC005A"/>
    <w:rsid w:val="00EC03B7"/>
    <w:rsid w:val="00EC054C"/>
    <w:rsid w:val="00EC0631"/>
    <w:rsid w:val="00EC07CB"/>
    <w:rsid w:val="00EC07FD"/>
    <w:rsid w:val="00EC0E18"/>
    <w:rsid w:val="00EC0F26"/>
    <w:rsid w:val="00EC115F"/>
    <w:rsid w:val="00EC151E"/>
    <w:rsid w:val="00EC1687"/>
    <w:rsid w:val="00EC1AA0"/>
    <w:rsid w:val="00EC1E97"/>
    <w:rsid w:val="00EC20FE"/>
    <w:rsid w:val="00EC226B"/>
    <w:rsid w:val="00EC2647"/>
    <w:rsid w:val="00EC26D3"/>
    <w:rsid w:val="00EC2935"/>
    <w:rsid w:val="00EC2D70"/>
    <w:rsid w:val="00EC3298"/>
    <w:rsid w:val="00EC3306"/>
    <w:rsid w:val="00EC3949"/>
    <w:rsid w:val="00EC39E2"/>
    <w:rsid w:val="00EC4406"/>
    <w:rsid w:val="00EC4482"/>
    <w:rsid w:val="00EC453B"/>
    <w:rsid w:val="00EC4807"/>
    <w:rsid w:val="00EC4B42"/>
    <w:rsid w:val="00EC4CA9"/>
    <w:rsid w:val="00EC5503"/>
    <w:rsid w:val="00EC5553"/>
    <w:rsid w:val="00EC57D9"/>
    <w:rsid w:val="00EC58C0"/>
    <w:rsid w:val="00EC592F"/>
    <w:rsid w:val="00EC5C84"/>
    <w:rsid w:val="00EC6383"/>
    <w:rsid w:val="00EC651C"/>
    <w:rsid w:val="00EC674F"/>
    <w:rsid w:val="00EC703A"/>
    <w:rsid w:val="00EC716D"/>
    <w:rsid w:val="00EC77FF"/>
    <w:rsid w:val="00EC789A"/>
    <w:rsid w:val="00EC78BB"/>
    <w:rsid w:val="00EC7D45"/>
    <w:rsid w:val="00ED04B1"/>
    <w:rsid w:val="00ED0625"/>
    <w:rsid w:val="00ED0957"/>
    <w:rsid w:val="00ED0CCB"/>
    <w:rsid w:val="00ED100D"/>
    <w:rsid w:val="00ED15B0"/>
    <w:rsid w:val="00ED1C8F"/>
    <w:rsid w:val="00ED1CB8"/>
    <w:rsid w:val="00ED1DFE"/>
    <w:rsid w:val="00ED26BE"/>
    <w:rsid w:val="00ED270D"/>
    <w:rsid w:val="00ED2BD2"/>
    <w:rsid w:val="00ED3074"/>
    <w:rsid w:val="00ED31E6"/>
    <w:rsid w:val="00ED3A0C"/>
    <w:rsid w:val="00ED3C4A"/>
    <w:rsid w:val="00ED3E39"/>
    <w:rsid w:val="00ED3F34"/>
    <w:rsid w:val="00ED41CF"/>
    <w:rsid w:val="00ED4334"/>
    <w:rsid w:val="00ED4585"/>
    <w:rsid w:val="00ED4743"/>
    <w:rsid w:val="00ED4A96"/>
    <w:rsid w:val="00ED4C43"/>
    <w:rsid w:val="00ED4D3A"/>
    <w:rsid w:val="00ED528D"/>
    <w:rsid w:val="00ED52AB"/>
    <w:rsid w:val="00ED5585"/>
    <w:rsid w:val="00ED56D9"/>
    <w:rsid w:val="00ED57EE"/>
    <w:rsid w:val="00ED586D"/>
    <w:rsid w:val="00ED5BCF"/>
    <w:rsid w:val="00ED62F2"/>
    <w:rsid w:val="00ED6542"/>
    <w:rsid w:val="00ED6AFC"/>
    <w:rsid w:val="00ED6C07"/>
    <w:rsid w:val="00ED6DF9"/>
    <w:rsid w:val="00ED7305"/>
    <w:rsid w:val="00ED7316"/>
    <w:rsid w:val="00ED7ABB"/>
    <w:rsid w:val="00EE02A2"/>
    <w:rsid w:val="00EE04FA"/>
    <w:rsid w:val="00EE06F6"/>
    <w:rsid w:val="00EE0F59"/>
    <w:rsid w:val="00EE118A"/>
    <w:rsid w:val="00EE127B"/>
    <w:rsid w:val="00EE12AB"/>
    <w:rsid w:val="00EE1593"/>
    <w:rsid w:val="00EE1677"/>
    <w:rsid w:val="00EE1761"/>
    <w:rsid w:val="00EE18D6"/>
    <w:rsid w:val="00EE1CFD"/>
    <w:rsid w:val="00EE207E"/>
    <w:rsid w:val="00EE2712"/>
    <w:rsid w:val="00EE2B38"/>
    <w:rsid w:val="00EE2C68"/>
    <w:rsid w:val="00EE33D4"/>
    <w:rsid w:val="00EE3445"/>
    <w:rsid w:val="00EE34D5"/>
    <w:rsid w:val="00EE35CB"/>
    <w:rsid w:val="00EE3AED"/>
    <w:rsid w:val="00EE3E89"/>
    <w:rsid w:val="00EE4605"/>
    <w:rsid w:val="00EE49EA"/>
    <w:rsid w:val="00EE5CB0"/>
    <w:rsid w:val="00EE5ECF"/>
    <w:rsid w:val="00EE5FBD"/>
    <w:rsid w:val="00EE6C5A"/>
    <w:rsid w:val="00EE70E9"/>
    <w:rsid w:val="00EE735F"/>
    <w:rsid w:val="00EE7547"/>
    <w:rsid w:val="00EE7EE2"/>
    <w:rsid w:val="00EE7FB8"/>
    <w:rsid w:val="00EF0189"/>
    <w:rsid w:val="00EF01BC"/>
    <w:rsid w:val="00EF021F"/>
    <w:rsid w:val="00EF0952"/>
    <w:rsid w:val="00EF0A9D"/>
    <w:rsid w:val="00EF0CEB"/>
    <w:rsid w:val="00EF1014"/>
    <w:rsid w:val="00EF107D"/>
    <w:rsid w:val="00EF180E"/>
    <w:rsid w:val="00EF23B5"/>
    <w:rsid w:val="00EF2469"/>
    <w:rsid w:val="00EF26B6"/>
    <w:rsid w:val="00EF2CA1"/>
    <w:rsid w:val="00EF2F51"/>
    <w:rsid w:val="00EF326E"/>
    <w:rsid w:val="00EF3B80"/>
    <w:rsid w:val="00EF3C71"/>
    <w:rsid w:val="00EF4460"/>
    <w:rsid w:val="00EF493C"/>
    <w:rsid w:val="00EF4BA5"/>
    <w:rsid w:val="00EF5742"/>
    <w:rsid w:val="00EF5A9B"/>
    <w:rsid w:val="00EF5F45"/>
    <w:rsid w:val="00EF6069"/>
    <w:rsid w:val="00EF636C"/>
    <w:rsid w:val="00EF6403"/>
    <w:rsid w:val="00EF6735"/>
    <w:rsid w:val="00EF694E"/>
    <w:rsid w:val="00EF6972"/>
    <w:rsid w:val="00EF6C57"/>
    <w:rsid w:val="00EF78CC"/>
    <w:rsid w:val="00EF79A0"/>
    <w:rsid w:val="00EF7E6C"/>
    <w:rsid w:val="00EF7F1E"/>
    <w:rsid w:val="00F000E7"/>
    <w:rsid w:val="00F00204"/>
    <w:rsid w:val="00F002E5"/>
    <w:rsid w:val="00F004E1"/>
    <w:rsid w:val="00F00E6C"/>
    <w:rsid w:val="00F015C5"/>
    <w:rsid w:val="00F01B66"/>
    <w:rsid w:val="00F01CBD"/>
    <w:rsid w:val="00F01FDE"/>
    <w:rsid w:val="00F0241E"/>
    <w:rsid w:val="00F027E3"/>
    <w:rsid w:val="00F02A2B"/>
    <w:rsid w:val="00F02FAF"/>
    <w:rsid w:val="00F03B9E"/>
    <w:rsid w:val="00F03E05"/>
    <w:rsid w:val="00F04242"/>
    <w:rsid w:val="00F0432A"/>
    <w:rsid w:val="00F04503"/>
    <w:rsid w:val="00F04669"/>
    <w:rsid w:val="00F04EA3"/>
    <w:rsid w:val="00F05176"/>
    <w:rsid w:val="00F054CC"/>
    <w:rsid w:val="00F05C74"/>
    <w:rsid w:val="00F05EBF"/>
    <w:rsid w:val="00F05FC6"/>
    <w:rsid w:val="00F0647A"/>
    <w:rsid w:val="00F06616"/>
    <w:rsid w:val="00F06C62"/>
    <w:rsid w:val="00F06E1A"/>
    <w:rsid w:val="00F06FF1"/>
    <w:rsid w:val="00F07155"/>
    <w:rsid w:val="00F10050"/>
    <w:rsid w:val="00F1064E"/>
    <w:rsid w:val="00F1067A"/>
    <w:rsid w:val="00F107D9"/>
    <w:rsid w:val="00F107DA"/>
    <w:rsid w:val="00F11877"/>
    <w:rsid w:val="00F118F1"/>
    <w:rsid w:val="00F11DA2"/>
    <w:rsid w:val="00F11F5A"/>
    <w:rsid w:val="00F1209F"/>
    <w:rsid w:val="00F12556"/>
    <w:rsid w:val="00F138DE"/>
    <w:rsid w:val="00F13FA6"/>
    <w:rsid w:val="00F1402D"/>
    <w:rsid w:val="00F14622"/>
    <w:rsid w:val="00F14774"/>
    <w:rsid w:val="00F147FD"/>
    <w:rsid w:val="00F14892"/>
    <w:rsid w:val="00F14E4E"/>
    <w:rsid w:val="00F153ED"/>
    <w:rsid w:val="00F155AE"/>
    <w:rsid w:val="00F156F7"/>
    <w:rsid w:val="00F159B9"/>
    <w:rsid w:val="00F15C22"/>
    <w:rsid w:val="00F15DAC"/>
    <w:rsid w:val="00F1617C"/>
    <w:rsid w:val="00F16725"/>
    <w:rsid w:val="00F16B06"/>
    <w:rsid w:val="00F16D67"/>
    <w:rsid w:val="00F16F24"/>
    <w:rsid w:val="00F1743E"/>
    <w:rsid w:val="00F17472"/>
    <w:rsid w:val="00F17672"/>
    <w:rsid w:val="00F17BF2"/>
    <w:rsid w:val="00F17D50"/>
    <w:rsid w:val="00F2040A"/>
    <w:rsid w:val="00F205C2"/>
    <w:rsid w:val="00F20971"/>
    <w:rsid w:val="00F209A2"/>
    <w:rsid w:val="00F20A4A"/>
    <w:rsid w:val="00F20EB0"/>
    <w:rsid w:val="00F21174"/>
    <w:rsid w:val="00F2183D"/>
    <w:rsid w:val="00F21C2D"/>
    <w:rsid w:val="00F21EF1"/>
    <w:rsid w:val="00F22427"/>
    <w:rsid w:val="00F22FB7"/>
    <w:rsid w:val="00F230E6"/>
    <w:rsid w:val="00F233BE"/>
    <w:rsid w:val="00F236AD"/>
    <w:rsid w:val="00F237EB"/>
    <w:rsid w:val="00F23839"/>
    <w:rsid w:val="00F23AB2"/>
    <w:rsid w:val="00F23C68"/>
    <w:rsid w:val="00F23C9E"/>
    <w:rsid w:val="00F23E45"/>
    <w:rsid w:val="00F23FEF"/>
    <w:rsid w:val="00F241C3"/>
    <w:rsid w:val="00F2441E"/>
    <w:rsid w:val="00F244A6"/>
    <w:rsid w:val="00F244E6"/>
    <w:rsid w:val="00F24826"/>
    <w:rsid w:val="00F248F2"/>
    <w:rsid w:val="00F24B9F"/>
    <w:rsid w:val="00F25031"/>
    <w:rsid w:val="00F251F5"/>
    <w:rsid w:val="00F25693"/>
    <w:rsid w:val="00F25A98"/>
    <w:rsid w:val="00F25BAB"/>
    <w:rsid w:val="00F25C7D"/>
    <w:rsid w:val="00F25D6E"/>
    <w:rsid w:val="00F25E63"/>
    <w:rsid w:val="00F26A0F"/>
    <w:rsid w:val="00F26D64"/>
    <w:rsid w:val="00F272EE"/>
    <w:rsid w:val="00F27A80"/>
    <w:rsid w:val="00F27D79"/>
    <w:rsid w:val="00F3028C"/>
    <w:rsid w:val="00F30649"/>
    <w:rsid w:val="00F306DF"/>
    <w:rsid w:val="00F30809"/>
    <w:rsid w:val="00F3097C"/>
    <w:rsid w:val="00F309B2"/>
    <w:rsid w:val="00F30C61"/>
    <w:rsid w:val="00F311A7"/>
    <w:rsid w:val="00F313F4"/>
    <w:rsid w:val="00F31813"/>
    <w:rsid w:val="00F319F0"/>
    <w:rsid w:val="00F31B86"/>
    <w:rsid w:val="00F323D7"/>
    <w:rsid w:val="00F32C22"/>
    <w:rsid w:val="00F32F8C"/>
    <w:rsid w:val="00F33891"/>
    <w:rsid w:val="00F33A49"/>
    <w:rsid w:val="00F346B9"/>
    <w:rsid w:val="00F34760"/>
    <w:rsid w:val="00F3480C"/>
    <w:rsid w:val="00F34C86"/>
    <w:rsid w:val="00F34E38"/>
    <w:rsid w:val="00F35126"/>
    <w:rsid w:val="00F3523A"/>
    <w:rsid w:val="00F35287"/>
    <w:rsid w:val="00F35391"/>
    <w:rsid w:val="00F35478"/>
    <w:rsid w:val="00F3554B"/>
    <w:rsid w:val="00F35822"/>
    <w:rsid w:val="00F35841"/>
    <w:rsid w:val="00F358ED"/>
    <w:rsid w:val="00F36756"/>
    <w:rsid w:val="00F3687F"/>
    <w:rsid w:val="00F36990"/>
    <w:rsid w:val="00F36AFB"/>
    <w:rsid w:val="00F36CB0"/>
    <w:rsid w:val="00F36F2B"/>
    <w:rsid w:val="00F37176"/>
    <w:rsid w:val="00F37594"/>
    <w:rsid w:val="00F375F4"/>
    <w:rsid w:val="00F3768B"/>
    <w:rsid w:val="00F37AED"/>
    <w:rsid w:val="00F37D08"/>
    <w:rsid w:val="00F37DFA"/>
    <w:rsid w:val="00F401B3"/>
    <w:rsid w:val="00F402A3"/>
    <w:rsid w:val="00F41254"/>
    <w:rsid w:val="00F41FA5"/>
    <w:rsid w:val="00F422CF"/>
    <w:rsid w:val="00F42FAB"/>
    <w:rsid w:val="00F43411"/>
    <w:rsid w:val="00F4358C"/>
    <w:rsid w:val="00F439DE"/>
    <w:rsid w:val="00F43CEF"/>
    <w:rsid w:val="00F43E15"/>
    <w:rsid w:val="00F43E35"/>
    <w:rsid w:val="00F44156"/>
    <w:rsid w:val="00F443BE"/>
    <w:rsid w:val="00F4482C"/>
    <w:rsid w:val="00F44D5F"/>
    <w:rsid w:val="00F44D87"/>
    <w:rsid w:val="00F4517E"/>
    <w:rsid w:val="00F451DE"/>
    <w:rsid w:val="00F45445"/>
    <w:rsid w:val="00F454F8"/>
    <w:rsid w:val="00F45912"/>
    <w:rsid w:val="00F464A7"/>
    <w:rsid w:val="00F46B73"/>
    <w:rsid w:val="00F46F75"/>
    <w:rsid w:val="00F47255"/>
    <w:rsid w:val="00F473A9"/>
    <w:rsid w:val="00F4774B"/>
    <w:rsid w:val="00F47ED9"/>
    <w:rsid w:val="00F50055"/>
    <w:rsid w:val="00F50479"/>
    <w:rsid w:val="00F505E1"/>
    <w:rsid w:val="00F50751"/>
    <w:rsid w:val="00F50CA9"/>
    <w:rsid w:val="00F5131E"/>
    <w:rsid w:val="00F51510"/>
    <w:rsid w:val="00F51AB5"/>
    <w:rsid w:val="00F51E98"/>
    <w:rsid w:val="00F51FD6"/>
    <w:rsid w:val="00F5200D"/>
    <w:rsid w:val="00F5218F"/>
    <w:rsid w:val="00F52656"/>
    <w:rsid w:val="00F52815"/>
    <w:rsid w:val="00F52BDC"/>
    <w:rsid w:val="00F52C48"/>
    <w:rsid w:val="00F52C57"/>
    <w:rsid w:val="00F5317B"/>
    <w:rsid w:val="00F53256"/>
    <w:rsid w:val="00F53D28"/>
    <w:rsid w:val="00F540A8"/>
    <w:rsid w:val="00F541E9"/>
    <w:rsid w:val="00F54978"/>
    <w:rsid w:val="00F5499F"/>
    <w:rsid w:val="00F54EF2"/>
    <w:rsid w:val="00F55494"/>
    <w:rsid w:val="00F5553D"/>
    <w:rsid w:val="00F5593C"/>
    <w:rsid w:val="00F56437"/>
    <w:rsid w:val="00F565C5"/>
    <w:rsid w:val="00F567AC"/>
    <w:rsid w:val="00F569DE"/>
    <w:rsid w:val="00F56A6D"/>
    <w:rsid w:val="00F56B41"/>
    <w:rsid w:val="00F57124"/>
    <w:rsid w:val="00F5727C"/>
    <w:rsid w:val="00F57512"/>
    <w:rsid w:val="00F57619"/>
    <w:rsid w:val="00F5795A"/>
    <w:rsid w:val="00F57B4F"/>
    <w:rsid w:val="00F57D4C"/>
    <w:rsid w:val="00F57E8D"/>
    <w:rsid w:val="00F57F67"/>
    <w:rsid w:val="00F6001D"/>
    <w:rsid w:val="00F60032"/>
    <w:rsid w:val="00F6023B"/>
    <w:rsid w:val="00F6026E"/>
    <w:rsid w:val="00F60F59"/>
    <w:rsid w:val="00F61071"/>
    <w:rsid w:val="00F6123C"/>
    <w:rsid w:val="00F61BAD"/>
    <w:rsid w:val="00F61E77"/>
    <w:rsid w:val="00F627FA"/>
    <w:rsid w:val="00F6286A"/>
    <w:rsid w:val="00F628CE"/>
    <w:rsid w:val="00F6296A"/>
    <w:rsid w:val="00F62D40"/>
    <w:rsid w:val="00F6308E"/>
    <w:rsid w:val="00F634B5"/>
    <w:rsid w:val="00F6370B"/>
    <w:rsid w:val="00F63801"/>
    <w:rsid w:val="00F63BB5"/>
    <w:rsid w:val="00F63E02"/>
    <w:rsid w:val="00F63EDC"/>
    <w:rsid w:val="00F6400B"/>
    <w:rsid w:val="00F641B7"/>
    <w:rsid w:val="00F648B0"/>
    <w:rsid w:val="00F64901"/>
    <w:rsid w:val="00F64B85"/>
    <w:rsid w:val="00F64F52"/>
    <w:rsid w:val="00F651DE"/>
    <w:rsid w:val="00F654FC"/>
    <w:rsid w:val="00F65696"/>
    <w:rsid w:val="00F65F60"/>
    <w:rsid w:val="00F65F99"/>
    <w:rsid w:val="00F6625E"/>
    <w:rsid w:val="00F6634C"/>
    <w:rsid w:val="00F665FF"/>
    <w:rsid w:val="00F67015"/>
    <w:rsid w:val="00F67024"/>
    <w:rsid w:val="00F6725E"/>
    <w:rsid w:val="00F67403"/>
    <w:rsid w:val="00F67735"/>
    <w:rsid w:val="00F67EC4"/>
    <w:rsid w:val="00F70F29"/>
    <w:rsid w:val="00F711C3"/>
    <w:rsid w:val="00F72530"/>
    <w:rsid w:val="00F72ADD"/>
    <w:rsid w:val="00F72D99"/>
    <w:rsid w:val="00F72FE2"/>
    <w:rsid w:val="00F73274"/>
    <w:rsid w:val="00F734EE"/>
    <w:rsid w:val="00F736AC"/>
    <w:rsid w:val="00F736CE"/>
    <w:rsid w:val="00F741DB"/>
    <w:rsid w:val="00F7429C"/>
    <w:rsid w:val="00F749F1"/>
    <w:rsid w:val="00F74BC4"/>
    <w:rsid w:val="00F74BDC"/>
    <w:rsid w:val="00F74BE3"/>
    <w:rsid w:val="00F7500F"/>
    <w:rsid w:val="00F75377"/>
    <w:rsid w:val="00F756AE"/>
    <w:rsid w:val="00F756EE"/>
    <w:rsid w:val="00F75856"/>
    <w:rsid w:val="00F7597D"/>
    <w:rsid w:val="00F75EFA"/>
    <w:rsid w:val="00F75F60"/>
    <w:rsid w:val="00F76819"/>
    <w:rsid w:val="00F76FD9"/>
    <w:rsid w:val="00F76FEA"/>
    <w:rsid w:val="00F7762E"/>
    <w:rsid w:val="00F77F5E"/>
    <w:rsid w:val="00F80335"/>
    <w:rsid w:val="00F8080D"/>
    <w:rsid w:val="00F8096F"/>
    <w:rsid w:val="00F8099C"/>
    <w:rsid w:val="00F80B8C"/>
    <w:rsid w:val="00F80CD4"/>
    <w:rsid w:val="00F80D6F"/>
    <w:rsid w:val="00F811E3"/>
    <w:rsid w:val="00F81508"/>
    <w:rsid w:val="00F81922"/>
    <w:rsid w:val="00F81C39"/>
    <w:rsid w:val="00F81E1E"/>
    <w:rsid w:val="00F8211E"/>
    <w:rsid w:val="00F82538"/>
    <w:rsid w:val="00F82ACD"/>
    <w:rsid w:val="00F83409"/>
    <w:rsid w:val="00F834CB"/>
    <w:rsid w:val="00F835EB"/>
    <w:rsid w:val="00F83A51"/>
    <w:rsid w:val="00F83BA8"/>
    <w:rsid w:val="00F8429C"/>
    <w:rsid w:val="00F842C3"/>
    <w:rsid w:val="00F843EF"/>
    <w:rsid w:val="00F84531"/>
    <w:rsid w:val="00F8470C"/>
    <w:rsid w:val="00F84CCF"/>
    <w:rsid w:val="00F84F97"/>
    <w:rsid w:val="00F8535D"/>
    <w:rsid w:val="00F85402"/>
    <w:rsid w:val="00F8559B"/>
    <w:rsid w:val="00F859CA"/>
    <w:rsid w:val="00F85C39"/>
    <w:rsid w:val="00F85EC7"/>
    <w:rsid w:val="00F861DA"/>
    <w:rsid w:val="00F865EF"/>
    <w:rsid w:val="00F86A54"/>
    <w:rsid w:val="00F871BC"/>
    <w:rsid w:val="00F87249"/>
    <w:rsid w:val="00F8777D"/>
    <w:rsid w:val="00F877F1"/>
    <w:rsid w:val="00F87FD5"/>
    <w:rsid w:val="00F90111"/>
    <w:rsid w:val="00F908A1"/>
    <w:rsid w:val="00F91040"/>
    <w:rsid w:val="00F917D0"/>
    <w:rsid w:val="00F91D54"/>
    <w:rsid w:val="00F91F35"/>
    <w:rsid w:val="00F91FA4"/>
    <w:rsid w:val="00F93590"/>
    <w:rsid w:val="00F93C8C"/>
    <w:rsid w:val="00F93CA7"/>
    <w:rsid w:val="00F93DD5"/>
    <w:rsid w:val="00F93DE2"/>
    <w:rsid w:val="00F947D0"/>
    <w:rsid w:val="00F94B2E"/>
    <w:rsid w:val="00F94DDF"/>
    <w:rsid w:val="00F95E79"/>
    <w:rsid w:val="00F95EA9"/>
    <w:rsid w:val="00F95F58"/>
    <w:rsid w:val="00F9619F"/>
    <w:rsid w:val="00F9675B"/>
    <w:rsid w:val="00F96B24"/>
    <w:rsid w:val="00F96DC2"/>
    <w:rsid w:val="00F970D1"/>
    <w:rsid w:val="00F9783A"/>
    <w:rsid w:val="00F97F1D"/>
    <w:rsid w:val="00F97FFB"/>
    <w:rsid w:val="00FA04A4"/>
    <w:rsid w:val="00FA057C"/>
    <w:rsid w:val="00FA05D7"/>
    <w:rsid w:val="00FA096E"/>
    <w:rsid w:val="00FA0BAE"/>
    <w:rsid w:val="00FA0BC6"/>
    <w:rsid w:val="00FA1169"/>
    <w:rsid w:val="00FA12EB"/>
    <w:rsid w:val="00FA1484"/>
    <w:rsid w:val="00FA1E5E"/>
    <w:rsid w:val="00FA1E81"/>
    <w:rsid w:val="00FA1FBC"/>
    <w:rsid w:val="00FA27E1"/>
    <w:rsid w:val="00FA2ACB"/>
    <w:rsid w:val="00FA2CDE"/>
    <w:rsid w:val="00FA2D4F"/>
    <w:rsid w:val="00FA2E22"/>
    <w:rsid w:val="00FA312B"/>
    <w:rsid w:val="00FA3341"/>
    <w:rsid w:val="00FA3358"/>
    <w:rsid w:val="00FA3518"/>
    <w:rsid w:val="00FA37CD"/>
    <w:rsid w:val="00FA3851"/>
    <w:rsid w:val="00FA3A86"/>
    <w:rsid w:val="00FA3E15"/>
    <w:rsid w:val="00FA483D"/>
    <w:rsid w:val="00FA4A72"/>
    <w:rsid w:val="00FA4B61"/>
    <w:rsid w:val="00FA5136"/>
    <w:rsid w:val="00FA5233"/>
    <w:rsid w:val="00FA528C"/>
    <w:rsid w:val="00FA52BC"/>
    <w:rsid w:val="00FA549F"/>
    <w:rsid w:val="00FA6487"/>
    <w:rsid w:val="00FA6664"/>
    <w:rsid w:val="00FA6BD2"/>
    <w:rsid w:val="00FA6DAB"/>
    <w:rsid w:val="00FA6DFA"/>
    <w:rsid w:val="00FA6F1B"/>
    <w:rsid w:val="00FA7A83"/>
    <w:rsid w:val="00FA7D14"/>
    <w:rsid w:val="00FA7D37"/>
    <w:rsid w:val="00FB00C3"/>
    <w:rsid w:val="00FB01BB"/>
    <w:rsid w:val="00FB03F5"/>
    <w:rsid w:val="00FB0404"/>
    <w:rsid w:val="00FB0487"/>
    <w:rsid w:val="00FB04F5"/>
    <w:rsid w:val="00FB0834"/>
    <w:rsid w:val="00FB0843"/>
    <w:rsid w:val="00FB0A09"/>
    <w:rsid w:val="00FB0AC4"/>
    <w:rsid w:val="00FB0AEB"/>
    <w:rsid w:val="00FB0F38"/>
    <w:rsid w:val="00FB1306"/>
    <w:rsid w:val="00FB1997"/>
    <w:rsid w:val="00FB1A51"/>
    <w:rsid w:val="00FB1ED4"/>
    <w:rsid w:val="00FB200D"/>
    <w:rsid w:val="00FB2517"/>
    <w:rsid w:val="00FB2F1D"/>
    <w:rsid w:val="00FB3BD2"/>
    <w:rsid w:val="00FB3CC3"/>
    <w:rsid w:val="00FB3EA6"/>
    <w:rsid w:val="00FB4023"/>
    <w:rsid w:val="00FB45C8"/>
    <w:rsid w:val="00FB479A"/>
    <w:rsid w:val="00FB4ADF"/>
    <w:rsid w:val="00FB4C00"/>
    <w:rsid w:val="00FB53AF"/>
    <w:rsid w:val="00FB5763"/>
    <w:rsid w:val="00FB5889"/>
    <w:rsid w:val="00FB588E"/>
    <w:rsid w:val="00FB5DE0"/>
    <w:rsid w:val="00FB5E5B"/>
    <w:rsid w:val="00FB607F"/>
    <w:rsid w:val="00FB6573"/>
    <w:rsid w:val="00FB6AD8"/>
    <w:rsid w:val="00FB704F"/>
    <w:rsid w:val="00FB732C"/>
    <w:rsid w:val="00FB7E4C"/>
    <w:rsid w:val="00FC02D7"/>
    <w:rsid w:val="00FC03C6"/>
    <w:rsid w:val="00FC0494"/>
    <w:rsid w:val="00FC0845"/>
    <w:rsid w:val="00FC1301"/>
    <w:rsid w:val="00FC13CE"/>
    <w:rsid w:val="00FC15B8"/>
    <w:rsid w:val="00FC1C76"/>
    <w:rsid w:val="00FC24EF"/>
    <w:rsid w:val="00FC2B41"/>
    <w:rsid w:val="00FC2DE9"/>
    <w:rsid w:val="00FC36C2"/>
    <w:rsid w:val="00FC38FE"/>
    <w:rsid w:val="00FC3DE4"/>
    <w:rsid w:val="00FC3E46"/>
    <w:rsid w:val="00FC4284"/>
    <w:rsid w:val="00FC42E4"/>
    <w:rsid w:val="00FC445D"/>
    <w:rsid w:val="00FC4878"/>
    <w:rsid w:val="00FC48B1"/>
    <w:rsid w:val="00FC4AF8"/>
    <w:rsid w:val="00FC4BAE"/>
    <w:rsid w:val="00FC4C16"/>
    <w:rsid w:val="00FC4E2F"/>
    <w:rsid w:val="00FC5160"/>
    <w:rsid w:val="00FC5480"/>
    <w:rsid w:val="00FC5E9A"/>
    <w:rsid w:val="00FC5F6C"/>
    <w:rsid w:val="00FC6218"/>
    <w:rsid w:val="00FC640E"/>
    <w:rsid w:val="00FC689A"/>
    <w:rsid w:val="00FC6900"/>
    <w:rsid w:val="00FC6E17"/>
    <w:rsid w:val="00FC7051"/>
    <w:rsid w:val="00FC74A6"/>
    <w:rsid w:val="00FC74D3"/>
    <w:rsid w:val="00FC7B1A"/>
    <w:rsid w:val="00FC7C45"/>
    <w:rsid w:val="00FD0112"/>
    <w:rsid w:val="00FD03E6"/>
    <w:rsid w:val="00FD060A"/>
    <w:rsid w:val="00FD08B3"/>
    <w:rsid w:val="00FD08E1"/>
    <w:rsid w:val="00FD0CA6"/>
    <w:rsid w:val="00FD10C3"/>
    <w:rsid w:val="00FD13C8"/>
    <w:rsid w:val="00FD19B7"/>
    <w:rsid w:val="00FD1BE1"/>
    <w:rsid w:val="00FD201A"/>
    <w:rsid w:val="00FD2175"/>
    <w:rsid w:val="00FD24F8"/>
    <w:rsid w:val="00FD2668"/>
    <w:rsid w:val="00FD29B6"/>
    <w:rsid w:val="00FD29BF"/>
    <w:rsid w:val="00FD2B1F"/>
    <w:rsid w:val="00FD2D77"/>
    <w:rsid w:val="00FD310E"/>
    <w:rsid w:val="00FD37B7"/>
    <w:rsid w:val="00FD38F9"/>
    <w:rsid w:val="00FD3B62"/>
    <w:rsid w:val="00FD3D1E"/>
    <w:rsid w:val="00FD3D2F"/>
    <w:rsid w:val="00FD4551"/>
    <w:rsid w:val="00FD46B3"/>
    <w:rsid w:val="00FD48AA"/>
    <w:rsid w:val="00FD4C58"/>
    <w:rsid w:val="00FD4E12"/>
    <w:rsid w:val="00FD644F"/>
    <w:rsid w:val="00FD6B26"/>
    <w:rsid w:val="00FD6CA5"/>
    <w:rsid w:val="00FD6D0B"/>
    <w:rsid w:val="00FD6D36"/>
    <w:rsid w:val="00FD6DE3"/>
    <w:rsid w:val="00FD6E80"/>
    <w:rsid w:val="00FD710D"/>
    <w:rsid w:val="00FD72A7"/>
    <w:rsid w:val="00FD766F"/>
    <w:rsid w:val="00FD7E90"/>
    <w:rsid w:val="00FE0181"/>
    <w:rsid w:val="00FE044F"/>
    <w:rsid w:val="00FE04DB"/>
    <w:rsid w:val="00FE059B"/>
    <w:rsid w:val="00FE0CB2"/>
    <w:rsid w:val="00FE13FC"/>
    <w:rsid w:val="00FE148B"/>
    <w:rsid w:val="00FE18C6"/>
    <w:rsid w:val="00FE1B6B"/>
    <w:rsid w:val="00FE1C4A"/>
    <w:rsid w:val="00FE1D13"/>
    <w:rsid w:val="00FE2013"/>
    <w:rsid w:val="00FE24EF"/>
    <w:rsid w:val="00FE2857"/>
    <w:rsid w:val="00FE2A7A"/>
    <w:rsid w:val="00FE2CCB"/>
    <w:rsid w:val="00FE3133"/>
    <w:rsid w:val="00FE34BD"/>
    <w:rsid w:val="00FE42BA"/>
    <w:rsid w:val="00FE4569"/>
    <w:rsid w:val="00FE4756"/>
    <w:rsid w:val="00FE49B5"/>
    <w:rsid w:val="00FE4A9A"/>
    <w:rsid w:val="00FE5208"/>
    <w:rsid w:val="00FE5A40"/>
    <w:rsid w:val="00FE5B01"/>
    <w:rsid w:val="00FE5D6C"/>
    <w:rsid w:val="00FE5E1C"/>
    <w:rsid w:val="00FE6049"/>
    <w:rsid w:val="00FE6312"/>
    <w:rsid w:val="00FE6566"/>
    <w:rsid w:val="00FE65CB"/>
    <w:rsid w:val="00FE67E0"/>
    <w:rsid w:val="00FE6FAA"/>
    <w:rsid w:val="00FE7794"/>
    <w:rsid w:val="00FE7F20"/>
    <w:rsid w:val="00FF0700"/>
    <w:rsid w:val="00FF0752"/>
    <w:rsid w:val="00FF1012"/>
    <w:rsid w:val="00FF10D9"/>
    <w:rsid w:val="00FF143E"/>
    <w:rsid w:val="00FF20CA"/>
    <w:rsid w:val="00FF2AFF"/>
    <w:rsid w:val="00FF2B6F"/>
    <w:rsid w:val="00FF342E"/>
    <w:rsid w:val="00FF349A"/>
    <w:rsid w:val="00FF36FC"/>
    <w:rsid w:val="00FF4429"/>
    <w:rsid w:val="00FF4459"/>
    <w:rsid w:val="00FF4A29"/>
    <w:rsid w:val="00FF508E"/>
    <w:rsid w:val="00FF5306"/>
    <w:rsid w:val="00FF545C"/>
    <w:rsid w:val="00FF572F"/>
    <w:rsid w:val="00FF5812"/>
    <w:rsid w:val="00FF59D8"/>
    <w:rsid w:val="00FF5A05"/>
    <w:rsid w:val="00FF5A49"/>
    <w:rsid w:val="00FF5D1E"/>
    <w:rsid w:val="00FF5D73"/>
    <w:rsid w:val="00FF5F59"/>
    <w:rsid w:val="00FF6033"/>
    <w:rsid w:val="00FF65BE"/>
    <w:rsid w:val="00FF6B29"/>
    <w:rsid w:val="00FF6C10"/>
    <w:rsid w:val="00FF6E55"/>
    <w:rsid w:val="00FF70E1"/>
    <w:rsid w:val="00FF74C6"/>
    <w:rsid w:val="00FF7E78"/>
    <w:rsid w:val="00FF7FF1"/>
    <w:rsid w:val="012A4260"/>
    <w:rsid w:val="028873DB"/>
    <w:rsid w:val="02B81079"/>
    <w:rsid w:val="03B87194"/>
    <w:rsid w:val="05D9297D"/>
    <w:rsid w:val="07FC36BE"/>
    <w:rsid w:val="08013D94"/>
    <w:rsid w:val="098E627C"/>
    <w:rsid w:val="0A501AB3"/>
    <w:rsid w:val="0A89165F"/>
    <w:rsid w:val="0BA702E2"/>
    <w:rsid w:val="0C1A784C"/>
    <w:rsid w:val="100C33D2"/>
    <w:rsid w:val="11C717AE"/>
    <w:rsid w:val="1386216F"/>
    <w:rsid w:val="14EA6C96"/>
    <w:rsid w:val="17DD62A7"/>
    <w:rsid w:val="185359F6"/>
    <w:rsid w:val="1A1D4B2A"/>
    <w:rsid w:val="1C6E79B2"/>
    <w:rsid w:val="1ED07608"/>
    <w:rsid w:val="1EFB5144"/>
    <w:rsid w:val="1F945C56"/>
    <w:rsid w:val="211114AF"/>
    <w:rsid w:val="22325D9C"/>
    <w:rsid w:val="243F6BEB"/>
    <w:rsid w:val="2507620A"/>
    <w:rsid w:val="2895342E"/>
    <w:rsid w:val="28E57974"/>
    <w:rsid w:val="2B234315"/>
    <w:rsid w:val="2B470F53"/>
    <w:rsid w:val="2CBE5C0E"/>
    <w:rsid w:val="2DBF71E1"/>
    <w:rsid w:val="2EAE4389"/>
    <w:rsid w:val="2F651D0D"/>
    <w:rsid w:val="3006117B"/>
    <w:rsid w:val="33676EE8"/>
    <w:rsid w:val="33BD6AD0"/>
    <w:rsid w:val="33D12D62"/>
    <w:rsid w:val="345A4637"/>
    <w:rsid w:val="34EF0200"/>
    <w:rsid w:val="3554720A"/>
    <w:rsid w:val="35751359"/>
    <w:rsid w:val="36FA06CB"/>
    <w:rsid w:val="378C6194"/>
    <w:rsid w:val="3B0D237B"/>
    <w:rsid w:val="3B7C0E07"/>
    <w:rsid w:val="3C7B6145"/>
    <w:rsid w:val="3D74650C"/>
    <w:rsid w:val="3F5963E9"/>
    <w:rsid w:val="41024B10"/>
    <w:rsid w:val="41AF3D3F"/>
    <w:rsid w:val="423958FF"/>
    <w:rsid w:val="43A526F5"/>
    <w:rsid w:val="43DD44F0"/>
    <w:rsid w:val="46A63F93"/>
    <w:rsid w:val="492459B1"/>
    <w:rsid w:val="4C137D81"/>
    <w:rsid w:val="4C88556D"/>
    <w:rsid w:val="4D231E69"/>
    <w:rsid w:val="4E2C236A"/>
    <w:rsid w:val="501A135A"/>
    <w:rsid w:val="53D373FA"/>
    <w:rsid w:val="548D133B"/>
    <w:rsid w:val="55010EAD"/>
    <w:rsid w:val="59444AB7"/>
    <w:rsid w:val="5A1F4560"/>
    <w:rsid w:val="5C13158F"/>
    <w:rsid w:val="5EEA6535"/>
    <w:rsid w:val="5FD17376"/>
    <w:rsid w:val="60DE2838"/>
    <w:rsid w:val="63046B69"/>
    <w:rsid w:val="64C75784"/>
    <w:rsid w:val="66636E7F"/>
    <w:rsid w:val="68835EF6"/>
    <w:rsid w:val="68E47613"/>
    <w:rsid w:val="6A1E0866"/>
    <w:rsid w:val="6A260A0B"/>
    <w:rsid w:val="6BDA5B4D"/>
    <w:rsid w:val="6BE857E4"/>
    <w:rsid w:val="6F4638FD"/>
    <w:rsid w:val="6F674DA1"/>
    <w:rsid w:val="721A4AEA"/>
    <w:rsid w:val="746F112F"/>
    <w:rsid w:val="761C4CFB"/>
    <w:rsid w:val="78B505A0"/>
    <w:rsid w:val="7A670786"/>
    <w:rsid w:val="7B0352B9"/>
    <w:rsid w:val="7B8A1319"/>
    <w:rsid w:val="7CC66E64"/>
    <w:rsid w:val="7CD5617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99" w:semiHidden="0" w:name="toc 4"/>
    <w:lsdException w:qFormat="1" w:unhideWhenUsed="0" w:uiPriority="0" w:semiHidden="0" w:name="toc 5"/>
    <w:lsdException w:qFormat="1" w:unhideWhenUsed="0" w:uiPriority="99"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iPriority="99"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99" w:semiHidden="0" w:name="Title"/>
    <w:lsdException w:qFormat="1" w:unhideWhenUsed="0" w:uiPriority="0" w:semiHidden="0" w:name="Closing"/>
    <w:lsdException w:qFormat="1" w:unhideWhenUsed="0" w:uiPriority="0" w:semiHidden="0" w:name="Signature"/>
    <w:lsdException w:qFormat="1" w:uiPriority="1" w:name="Default Paragraph Font"/>
    <w:lsdException w:qFormat="1" w:uiPriority="99" w:semiHidden="0" w:name="Body Text"/>
    <w:lsdException w:qFormat="1" w:uiPriority="99"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99"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99" w:semiHidden="0" w:name="Body Text Indent 2"/>
    <w:lsdException w:qFormat="1" w:unhideWhenUsed="0" w:uiPriority="99"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99" w:semiHidden="0" w:name="Emphasis"/>
    <w:lsdException w:qFormat="1" w:unhideWhenUsed="0" w:uiPriority="99"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101"/>
    <w:qFormat/>
    <w:uiPriority w:val="99"/>
    <w:pPr>
      <w:keepNext/>
      <w:keepLines/>
      <w:numPr>
        <w:ilvl w:val="0"/>
        <w:numId w:val="1"/>
      </w:numPr>
      <w:topLinePunct/>
      <w:spacing w:line="480" w:lineRule="auto"/>
      <w:textAlignment w:val="baseline"/>
      <w:outlineLvl w:val="0"/>
    </w:pPr>
    <w:rPr>
      <w:rFonts w:eastAsia="汉仪大宋简"/>
      <w:kern w:val="44"/>
      <w:sz w:val="22"/>
      <w:szCs w:val="22"/>
    </w:rPr>
  </w:style>
  <w:style w:type="paragraph" w:styleId="5">
    <w:name w:val="heading 2"/>
    <w:basedOn w:val="1"/>
    <w:next w:val="1"/>
    <w:link w:val="102"/>
    <w:qFormat/>
    <w:uiPriority w:val="99"/>
    <w:pPr>
      <w:keepNext/>
      <w:keepLines/>
      <w:numPr>
        <w:ilvl w:val="1"/>
        <w:numId w:val="1"/>
      </w:numPr>
      <w:topLinePunct/>
      <w:outlineLvl w:val="1"/>
    </w:pPr>
    <w:rPr>
      <w:rFonts w:eastAsia="黑体"/>
      <w:bCs/>
      <w:szCs w:val="21"/>
    </w:rPr>
  </w:style>
  <w:style w:type="paragraph" w:styleId="6">
    <w:name w:val="heading 3"/>
    <w:basedOn w:val="1"/>
    <w:next w:val="1"/>
    <w:link w:val="103"/>
    <w:qFormat/>
    <w:uiPriority w:val="99"/>
    <w:pPr>
      <w:keepNext/>
      <w:keepLines/>
      <w:numPr>
        <w:ilvl w:val="2"/>
        <w:numId w:val="1"/>
      </w:numPr>
      <w:spacing w:line="960" w:lineRule="auto"/>
      <w:jc w:val="center"/>
      <w:outlineLvl w:val="2"/>
    </w:pPr>
    <w:rPr>
      <w:rFonts w:eastAsia="黑体"/>
      <w:bCs/>
      <w:sz w:val="28"/>
      <w:szCs w:val="28"/>
    </w:rPr>
  </w:style>
  <w:style w:type="paragraph" w:styleId="7">
    <w:name w:val="heading 4"/>
    <w:basedOn w:val="1"/>
    <w:next w:val="1"/>
    <w:link w:val="104"/>
    <w:qFormat/>
    <w:uiPriority w:val="99"/>
    <w:pPr>
      <w:keepNext/>
      <w:keepLines/>
      <w:tabs>
        <w:tab w:val="left" w:pos="2976"/>
      </w:tabs>
      <w:spacing w:before="280" w:after="290" w:line="372" w:lineRule="auto"/>
      <w:ind w:left="2551"/>
      <w:outlineLvl w:val="3"/>
    </w:pPr>
    <w:rPr>
      <w:rFonts w:ascii="Arial" w:hAnsi="Arial" w:eastAsia="黑体"/>
      <w:b/>
      <w:bCs/>
      <w:sz w:val="28"/>
      <w:szCs w:val="28"/>
    </w:rPr>
  </w:style>
  <w:style w:type="paragraph" w:styleId="8">
    <w:name w:val="heading 5"/>
    <w:basedOn w:val="1"/>
    <w:next w:val="1"/>
    <w:link w:val="105"/>
    <w:qFormat/>
    <w:uiPriority w:val="0"/>
    <w:pPr>
      <w:keepNext/>
      <w:keepLines/>
      <w:tabs>
        <w:tab w:val="left" w:pos="3827"/>
      </w:tabs>
      <w:spacing w:line="360" w:lineRule="auto"/>
      <w:ind w:left="3402"/>
      <w:outlineLvl w:val="4"/>
    </w:pPr>
    <w:rPr>
      <w:rFonts w:eastAsia="黑体"/>
      <w:bCs/>
      <w:szCs w:val="28"/>
    </w:rPr>
  </w:style>
  <w:style w:type="paragraph" w:styleId="9">
    <w:name w:val="heading 6"/>
    <w:basedOn w:val="1"/>
    <w:next w:val="1"/>
    <w:link w:val="106"/>
    <w:qFormat/>
    <w:uiPriority w:val="0"/>
    <w:pPr>
      <w:keepNext/>
      <w:keepLines/>
      <w:tabs>
        <w:tab w:val="left" w:pos="4677"/>
      </w:tabs>
      <w:spacing w:before="240" w:after="64" w:line="317" w:lineRule="auto"/>
      <w:ind w:left="4252"/>
      <w:outlineLvl w:val="5"/>
    </w:pPr>
    <w:rPr>
      <w:rFonts w:ascii="Arial" w:hAnsi="Arial" w:eastAsia="黑体"/>
      <w:b/>
      <w:bCs/>
      <w:sz w:val="24"/>
    </w:rPr>
  </w:style>
  <w:style w:type="paragraph" w:styleId="10">
    <w:name w:val="heading 7"/>
    <w:basedOn w:val="1"/>
    <w:next w:val="1"/>
    <w:link w:val="107"/>
    <w:qFormat/>
    <w:uiPriority w:val="0"/>
    <w:pPr>
      <w:keepNext/>
      <w:keepLines/>
      <w:tabs>
        <w:tab w:val="left" w:pos="5528"/>
      </w:tabs>
      <w:spacing w:before="240" w:after="64" w:line="317" w:lineRule="auto"/>
      <w:ind w:left="5102"/>
      <w:outlineLvl w:val="6"/>
    </w:pPr>
    <w:rPr>
      <w:b/>
      <w:bCs/>
      <w:sz w:val="24"/>
    </w:rPr>
  </w:style>
  <w:style w:type="paragraph" w:styleId="11">
    <w:name w:val="heading 8"/>
    <w:basedOn w:val="1"/>
    <w:next w:val="1"/>
    <w:link w:val="108"/>
    <w:qFormat/>
    <w:uiPriority w:val="0"/>
    <w:pPr>
      <w:keepNext/>
      <w:keepLines/>
      <w:tabs>
        <w:tab w:val="left" w:pos="6378"/>
      </w:tabs>
      <w:spacing w:before="240" w:after="64" w:line="317" w:lineRule="auto"/>
      <w:ind w:left="5953"/>
      <w:outlineLvl w:val="7"/>
    </w:pPr>
    <w:rPr>
      <w:rFonts w:ascii="Arial" w:hAnsi="Arial" w:eastAsia="黑体"/>
      <w:sz w:val="24"/>
    </w:rPr>
  </w:style>
  <w:style w:type="paragraph" w:styleId="12">
    <w:name w:val="heading 9"/>
    <w:basedOn w:val="1"/>
    <w:next w:val="1"/>
    <w:link w:val="109"/>
    <w:qFormat/>
    <w:uiPriority w:val="0"/>
    <w:pPr>
      <w:keepNext/>
      <w:keepLines/>
      <w:tabs>
        <w:tab w:val="left" w:pos="7228"/>
      </w:tabs>
      <w:spacing w:before="240" w:after="64" w:line="317" w:lineRule="auto"/>
      <w:ind w:left="6803"/>
      <w:outlineLvl w:val="8"/>
    </w:pPr>
    <w:rPr>
      <w:rFonts w:ascii="Arial" w:hAnsi="Arial" w:eastAsia="黑体"/>
      <w:szCs w:val="21"/>
    </w:rPr>
  </w:style>
  <w:style w:type="character" w:default="1" w:styleId="85">
    <w:name w:val="Default Paragraph Font"/>
    <w:semiHidden/>
    <w:unhideWhenUsed/>
    <w:qFormat/>
    <w:uiPriority w:val="1"/>
  </w:style>
  <w:style w:type="table" w:default="1" w:styleId="8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200"/>
    <w:unhideWhenUsed/>
    <w:qFormat/>
    <w:uiPriority w:val="99"/>
    <w:pPr>
      <w:spacing w:after="120"/>
    </w:pPr>
  </w:style>
  <w:style w:type="paragraph" w:styleId="3">
    <w:name w:val="Title"/>
    <w:basedOn w:val="1"/>
    <w:next w:val="1"/>
    <w:link w:val="219"/>
    <w:qFormat/>
    <w:uiPriority w:val="99"/>
    <w:pPr>
      <w:spacing w:before="240" w:after="60"/>
      <w:jc w:val="center"/>
      <w:outlineLvl w:val="0"/>
    </w:pPr>
    <w:rPr>
      <w:rFonts w:ascii="Arial" w:hAnsi="Arial"/>
      <w:b/>
      <w:bCs/>
      <w:sz w:val="32"/>
      <w:szCs w:val="32"/>
    </w:rPr>
  </w:style>
  <w:style w:type="paragraph" w:styleId="13">
    <w:name w:val="List 3"/>
    <w:basedOn w:val="1"/>
    <w:qFormat/>
    <w:uiPriority w:val="0"/>
    <w:pPr>
      <w:ind w:left="1260" w:hanging="420"/>
    </w:pPr>
  </w:style>
  <w:style w:type="paragraph" w:styleId="14">
    <w:name w:val="toc 7"/>
    <w:basedOn w:val="1"/>
    <w:next w:val="1"/>
    <w:qFormat/>
    <w:uiPriority w:val="0"/>
    <w:pPr>
      <w:ind w:left="1260"/>
      <w:jc w:val="left"/>
    </w:pPr>
    <w:rPr>
      <w:sz w:val="20"/>
      <w:szCs w:val="20"/>
    </w:rPr>
  </w:style>
  <w:style w:type="paragraph" w:styleId="15">
    <w:name w:val="List Number 2"/>
    <w:basedOn w:val="1"/>
    <w:qFormat/>
    <w:uiPriority w:val="0"/>
    <w:pPr>
      <w:tabs>
        <w:tab w:val="left" w:pos="780"/>
      </w:tabs>
      <w:ind w:left="780" w:hanging="360"/>
    </w:pPr>
  </w:style>
  <w:style w:type="paragraph" w:styleId="16">
    <w:name w:val="Note Heading"/>
    <w:basedOn w:val="1"/>
    <w:next w:val="1"/>
    <w:link w:val="167"/>
    <w:qFormat/>
    <w:uiPriority w:val="0"/>
    <w:pPr>
      <w:jc w:val="center"/>
    </w:pPr>
  </w:style>
  <w:style w:type="paragraph" w:styleId="17">
    <w:name w:val="List Bullet 4"/>
    <w:basedOn w:val="1"/>
    <w:qFormat/>
    <w:uiPriority w:val="0"/>
    <w:pPr>
      <w:tabs>
        <w:tab w:val="left" w:pos="1620"/>
      </w:tabs>
      <w:ind w:left="1620" w:hanging="360"/>
    </w:pPr>
  </w:style>
  <w:style w:type="paragraph" w:styleId="18">
    <w:name w:val="index 8"/>
    <w:basedOn w:val="1"/>
    <w:next w:val="1"/>
    <w:qFormat/>
    <w:uiPriority w:val="0"/>
    <w:pPr>
      <w:ind w:left="1400" w:leftChars="1400"/>
    </w:pPr>
    <w:rPr>
      <w:rFonts w:eastAsia="仿宋_GB2312"/>
      <w:sz w:val="28"/>
    </w:rPr>
  </w:style>
  <w:style w:type="paragraph" w:styleId="19">
    <w:name w:val="E-mail Signature"/>
    <w:basedOn w:val="1"/>
    <w:link w:val="250"/>
    <w:qFormat/>
    <w:uiPriority w:val="0"/>
  </w:style>
  <w:style w:type="paragraph" w:styleId="20">
    <w:name w:val="List Number"/>
    <w:basedOn w:val="1"/>
    <w:qFormat/>
    <w:uiPriority w:val="0"/>
    <w:pPr>
      <w:tabs>
        <w:tab w:val="left" w:pos="360"/>
      </w:tabs>
      <w:ind w:left="360" w:hanging="360"/>
    </w:pPr>
  </w:style>
  <w:style w:type="paragraph" w:styleId="21">
    <w:name w:val="Normal Indent"/>
    <w:basedOn w:val="1"/>
    <w:link w:val="134"/>
    <w:qFormat/>
    <w:uiPriority w:val="0"/>
    <w:pPr>
      <w:ind w:firstLine="420"/>
    </w:pPr>
    <w:rPr>
      <w:rFonts w:asciiTheme="minorHAnsi" w:hAnsiTheme="minorHAnsi" w:cstheme="minorBidi"/>
    </w:rPr>
  </w:style>
  <w:style w:type="paragraph" w:styleId="22">
    <w:name w:val="caption"/>
    <w:basedOn w:val="1"/>
    <w:next w:val="1"/>
    <w:qFormat/>
    <w:uiPriority w:val="0"/>
    <w:pPr>
      <w:spacing w:before="152" w:after="160"/>
    </w:pPr>
    <w:rPr>
      <w:rFonts w:ascii="Arial" w:hAnsi="Arial" w:eastAsia="黑体"/>
      <w:sz w:val="20"/>
      <w:szCs w:val="20"/>
    </w:rPr>
  </w:style>
  <w:style w:type="paragraph" w:styleId="23">
    <w:name w:val="index 5"/>
    <w:basedOn w:val="1"/>
    <w:next w:val="1"/>
    <w:qFormat/>
    <w:uiPriority w:val="0"/>
    <w:pPr>
      <w:ind w:left="800" w:leftChars="800"/>
    </w:pPr>
    <w:rPr>
      <w:rFonts w:eastAsia="仿宋_GB2312"/>
      <w:sz w:val="28"/>
    </w:rPr>
  </w:style>
  <w:style w:type="paragraph" w:styleId="24">
    <w:name w:val="List Bullet"/>
    <w:basedOn w:val="1"/>
    <w:qFormat/>
    <w:uiPriority w:val="0"/>
    <w:pPr>
      <w:tabs>
        <w:tab w:val="left" w:pos="360"/>
      </w:tabs>
      <w:ind w:left="360" w:hanging="360"/>
    </w:pPr>
  </w:style>
  <w:style w:type="paragraph" w:styleId="25">
    <w:name w:val="envelope address"/>
    <w:basedOn w:val="1"/>
    <w:qFormat/>
    <w:uiPriority w:val="0"/>
    <w:pPr>
      <w:snapToGrid w:val="0"/>
      <w:ind w:left="2880"/>
    </w:pPr>
    <w:rPr>
      <w:rFonts w:ascii="Arial" w:hAnsi="Arial" w:cs="Arial"/>
      <w:sz w:val="24"/>
    </w:rPr>
  </w:style>
  <w:style w:type="paragraph" w:styleId="26">
    <w:name w:val="Document Map"/>
    <w:basedOn w:val="1"/>
    <w:link w:val="195"/>
    <w:qFormat/>
    <w:uiPriority w:val="99"/>
    <w:pPr>
      <w:shd w:val="clear" w:color="auto" w:fill="000080"/>
    </w:pPr>
  </w:style>
  <w:style w:type="paragraph" w:styleId="27">
    <w:name w:val="annotation text"/>
    <w:basedOn w:val="1"/>
    <w:link w:val="171"/>
    <w:unhideWhenUsed/>
    <w:qFormat/>
    <w:uiPriority w:val="99"/>
    <w:pPr>
      <w:jc w:val="left"/>
    </w:pPr>
  </w:style>
  <w:style w:type="paragraph" w:styleId="28">
    <w:name w:val="index 6"/>
    <w:basedOn w:val="1"/>
    <w:next w:val="1"/>
    <w:qFormat/>
    <w:uiPriority w:val="0"/>
    <w:pPr>
      <w:ind w:left="1000" w:leftChars="1000"/>
    </w:pPr>
    <w:rPr>
      <w:rFonts w:eastAsia="仿宋_GB2312"/>
      <w:sz w:val="28"/>
    </w:rPr>
  </w:style>
  <w:style w:type="paragraph" w:styleId="29">
    <w:name w:val="Salutation"/>
    <w:basedOn w:val="1"/>
    <w:next w:val="1"/>
    <w:link w:val="256"/>
    <w:qFormat/>
    <w:uiPriority w:val="0"/>
  </w:style>
  <w:style w:type="paragraph" w:styleId="30">
    <w:name w:val="Body Text 3"/>
    <w:basedOn w:val="1"/>
    <w:link w:val="264"/>
    <w:qFormat/>
    <w:uiPriority w:val="0"/>
    <w:pPr>
      <w:spacing w:after="120"/>
    </w:pPr>
    <w:rPr>
      <w:sz w:val="16"/>
      <w:szCs w:val="16"/>
    </w:rPr>
  </w:style>
  <w:style w:type="paragraph" w:styleId="31">
    <w:name w:val="Closing"/>
    <w:basedOn w:val="1"/>
    <w:link w:val="216"/>
    <w:qFormat/>
    <w:uiPriority w:val="0"/>
    <w:pPr>
      <w:ind w:left="4320"/>
    </w:pPr>
  </w:style>
  <w:style w:type="paragraph" w:styleId="32">
    <w:name w:val="List Bullet 3"/>
    <w:basedOn w:val="1"/>
    <w:qFormat/>
    <w:uiPriority w:val="0"/>
    <w:pPr>
      <w:tabs>
        <w:tab w:val="left" w:pos="1200"/>
      </w:tabs>
      <w:ind w:left="1200" w:hanging="360"/>
    </w:pPr>
  </w:style>
  <w:style w:type="paragraph" w:styleId="33">
    <w:name w:val="Body Text Indent"/>
    <w:basedOn w:val="1"/>
    <w:link w:val="184"/>
    <w:unhideWhenUsed/>
    <w:qFormat/>
    <w:uiPriority w:val="99"/>
    <w:pPr>
      <w:spacing w:after="120"/>
      <w:ind w:left="420" w:leftChars="200"/>
    </w:pPr>
  </w:style>
  <w:style w:type="paragraph" w:styleId="34">
    <w:name w:val="List Number 3"/>
    <w:basedOn w:val="1"/>
    <w:qFormat/>
    <w:uiPriority w:val="0"/>
    <w:pPr>
      <w:tabs>
        <w:tab w:val="left" w:pos="1200"/>
      </w:tabs>
      <w:ind w:left="1200" w:hanging="360"/>
    </w:pPr>
  </w:style>
  <w:style w:type="paragraph" w:styleId="35">
    <w:name w:val="List 2"/>
    <w:basedOn w:val="1"/>
    <w:qFormat/>
    <w:uiPriority w:val="0"/>
    <w:pPr>
      <w:ind w:left="840" w:hanging="420"/>
    </w:pPr>
  </w:style>
  <w:style w:type="paragraph" w:styleId="36">
    <w:name w:val="List Continue"/>
    <w:basedOn w:val="1"/>
    <w:qFormat/>
    <w:uiPriority w:val="0"/>
    <w:pPr>
      <w:spacing w:after="120"/>
      <w:ind w:left="420"/>
    </w:pPr>
  </w:style>
  <w:style w:type="paragraph" w:styleId="37">
    <w:name w:val="Block Text"/>
    <w:basedOn w:val="1"/>
    <w:qFormat/>
    <w:uiPriority w:val="0"/>
    <w:pPr>
      <w:spacing w:after="120"/>
      <w:ind w:left="1440" w:right="1440"/>
    </w:pPr>
  </w:style>
  <w:style w:type="paragraph" w:styleId="38">
    <w:name w:val="List Bullet 2"/>
    <w:basedOn w:val="1"/>
    <w:qFormat/>
    <w:uiPriority w:val="0"/>
    <w:pPr>
      <w:tabs>
        <w:tab w:val="left" w:pos="780"/>
      </w:tabs>
      <w:ind w:left="780" w:hanging="360"/>
    </w:pPr>
  </w:style>
  <w:style w:type="paragraph" w:styleId="39">
    <w:name w:val="HTML Address"/>
    <w:basedOn w:val="1"/>
    <w:link w:val="192"/>
    <w:qFormat/>
    <w:uiPriority w:val="0"/>
    <w:rPr>
      <w:i/>
      <w:iCs/>
    </w:rPr>
  </w:style>
  <w:style w:type="paragraph" w:styleId="40">
    <w:name w:val="index 4"/>
    <w:basedOn w:val="1"/>
    <w:next w:val="1"/>
    <w:qFormat/>
    <w:uiPriority w:val="0"/>
    <w:pPr>
      <w:ind w:left="600" w:leftChars="600"/>
    </w:pPr>
    <w:rPr>
      <w:rFonts w:eastAsia="仿宋_GB2312"/>
      <w:sz w:val="28"/>
    </w:rPr>
  </w:style>
  <w:style w:type="paragraph" w:styleId="41">
    <w:name w:val="toc 5"/>
    <w:basedOn w:val="1"/>
    <w:next w:val="1"/>
    <w:qFormat/>
    <w:uiPriority w:val="0"/>
    <w:pPr>
      <w:ind w:left="840"/>
      <w:jc w:val="left"/>
    </w:pPr>
    <w:rPr>
      <w:sz w:val="20"/>
      <w:szCs w:val="20"/>
    </w:rPr>
  </w:style>
  <w:style w:type="paragraph" w:styleId="42">
    <w:name w:val="toc 3"/>
    <w:basedOn w:val="1"/>
    <w:next w:val="1"/>
    <w:qFormat/>
    <w:uiPriority w:val="39"/>
    <w:pPr>
      <w:ind w:left="840" w:leftChars="400"/>
    </w:pPr>
  </w:style>
  <w:style w:type="paragraph" w:styleId="43">
    <w:name w:val="Plain Text"/>
    <w:basedOn w:val="1"/>
    <w:link w:val="139"/>
    <w:qFormat/>
    <w:uiPriority w:val="0"/>
    <w:rPr>
      <w:rFonts w:ascii="宋体" w:hAnsi="Courier New" w:cs="Courier New"/>
      <w:szCs w:val="21"/>
    </w:rPr>
  </w:style>
  <w:style w:type="paragraph" w:styleId="44">
    <w:name w:val="List Bullet 5"/>
    <w:basedOn w:val="1"/>
    <w:qFormat/>
    <w:uiPriority w:val="0"/>
    <w:pPr>
      <w:tabs>
        <w:tab w:val="left" w:pos="2040"/>
      </w:tabs>
      <w:ind w:left="2040" w:hanging="360"/>
    </w:pPr>
  </w:style>
  <w:style w:type="paragraph" w:styleId="45">
    <w:name w:val="List Number 4"/>
    <w:basedOn w:val="1"/>
    <w:qFormat/>
    <w:uiPriority w:val="0"/>
    <w:pPr>
      <w:tabs>
        <w:tab w:val="left" w:pos="1620"/>
      </w:tabs>
      <w:ind w:left="1620" w:hanging="360"/>
    </w:pPr>
  </w:style>
  <w:style w:type="paragraph" w:styleId="46">
    <w:name w:val="toc 8"/>
    <w:basedOn w:val="1"/>
    <w:next w:val="1"/>
    <w:qFormat/>
    <w:uiPriority w:val="0"/>
    <w:pPr>
      <w:ind w:left="1470"/>
      <w:jc w:val="left"/>
    </w:pPr>
    <w:rPr>
      <w:sz w:val="20"/>
      <w:szCs w:val="20"/>
    </w:rPr>
  </w:style>
  <w:style w:type="paragraph" w:styleId="47">
    <w:name w:val="index 3"/>
    <w:basedOn w:val="1"/>
    <w:next w:val="1"/>
    <w:qFormat/>
    <w:uiPriority w:val="0"/>
    <w:pPr>
      <w:ind w:left="400" w:leftChars="400"/>
    </w:pPr>
    <w:rPr>
      <w:rFonts w:eastAsia="仿宋_GB2312"/>
      <w:sz w:val="28"/>
    </w:rPr>
  </w:style>
  <w:style w:type="paragraph" w:styleId="48">
    <w:name w:val="Date"/>
    <w:basedOn w:val="1"/>
    <w:next w:val="1"/>
    <w:link w:val="255"/>
    <w:qFormat/>
    <w:uiPriority w:val="99"/>
  </w:style>
  <w:style w:type="paragraph" w:styleId="49">
    <w:name w:val="Body Text Indent 2"/>
    <w:basedOn w:val="1"/>
    <w:link w:val="211"/>
    <w:qFormat/>
    <w:uiPriority w:val="99"/>
    <w:pPr>
      <w:spacing w:after="120" w:line="480" w:lineRule="auto"/>
      <w:ind w:left="420"/>
    </w:pPr>
  </w:style>
  <w:style w:type="paragraph" w:styleId="50">
    <w:name w:val="List Continue 5"/>
    <w:basedOn w:val="1"/>
    <w:qFormat/>
    <w:uiPriority w:val="0"/>
    <w:pPr>
      <w:spacing w:after="120"/>
      <w:ind w:left="2100"/>
    </w:pPr>
  </w:style>
  <w:style w:type="paragraph" w:styleId="51">
    <w:name w:val="Balloon Text"/>
    <w:basedOn w:val="1"/>
    <w:link w:val="205"/>
    <w:qFormat/>
    <w:uiPriority w:val="99"/>
    <w:rPr>
      <w:sz w:val="18"/>
      <w:szCs w:val="18"/>
    </w:rPr>
  </w:style>
  <w:style w:type="paragraph" w:styleId="52">
    <w:name w:val="footer"/>
    <w:basedOn w:val="1"/>
    <w:link w:val="130"/>
    <w:qFormat/>
    <w:uiPriority w:val="99"/>
    <w:pPr>
      <w:tabs>
        <w:tab w:val="center" w:pos="4153"/>
        <w:tab w:val="right" w:pos="8306"/>
      </w:tabs>
      <w:snapToGrid w:val="0"/>
      <w:jc w:val="left"/>
    </w:pPr>
    <w:rPr>
      <w:rFonts w:asciiTheme="minorHAnsi" w:hAnsiTheme="minorHAnsi" w:cstheme="minorBidi"/>
      <w:sz w:val="18"/>
      <w:szCs w:val="18"/>
    </w:rPr>
  </w:style>
  <w:style w:type="paragraph" w:styleId="53">
    <w:name w:val="envelope return"/>
    <w:basedOn w:val="1"/>
    <w:qFormat/>
    <w:uiPriority w:val="0"/>
    <w:pPr>
      <w:snapToGrid w:val="0"/>
    </w:pPr>
    <w:rPr>
      <w:rFonts w:ascii="Arial" w:hAnsi="Arial" w:cs="Arial"/>
    </w:rPr>
  </w:style>
  <w:style w:type="paragraph" w:styleId="54">
    <w:name w:val="header"/>
    <w:basedOn w:val="1"/>
    <w:link w:val="125"/>
    <w:qFormat/>
    <w:uiPriority w:val="0"/>
    <w:pPr>
      <w:pBdr>
        <w:bottom w:val="single" w:color="auto" w:sz="6" w:space="1"/>
      </w:pBdr>
      <w:tabs>
        <w:tab w:val="center" w:pos="4153"/>
        <w:tab w:val="right" w:pos="8306"/>
      </w:tabs>
      <w:snapToGrid w:val="0"/>
      <w:jc w:val="center"/>
    </w:pPr>
    <w:rPr>
      <w:rFonts w:asciiTheme="minorHAnsi" w:hAnsiTheme="minorHAnsi" w:cstheme="minorBidi"/>
      <w:sz w:val="18"/>
      <w:szCs w:val="18"/>
    </w:rPr>
  </w:style>
  <w:style w:type="paragraph" w:styleId="55">
    <w:name w:val="Signature"/>
    <w:basedOn w:val="1"/>
    <w:link w:val="228"/>
    <w:qFormat/>
    <w:uiPriority w:val="0"/>
    <w:pPr>
      <w:ind w:left="4320"/>
    </w:pPr>
  </w:style>
  <w:style w:type="paragraph" w:styleId="56">
    <w:name w:val="toc 1"/>
    <w:basedOn w:val="1"/>
    <w:next w:val="1"/>
    <w:qFormat/>
    <w:uiPriority w:val="39"/>
    <w:pPr>
      <w:tabs>
        <w:tab w:val="right" w:leader="dot" w:pos="8705"/>
      </w:tabs>
    </w:pPr>
    <w:rPr>
      <w:b/>
    </w:rPr>
  </w:style>
  <w:style w:type="paragraph" w:styleId="57">
    <w:name w:val="List Continue 4"/>
    <w:basedOn w:val="1"/>
    <w:qFormat/>
    <w:uiPriority w:val="0"/>
    <w:pPr>
      <w:spacing w:after="120"/>
      <w:ind w:left="1680"/>
    </w:pPr>
  </w:style>
  <w:style w:type="paragraph" w:styleId="58">
    <w:name w:val="toc 4"/>
    <w:basedOn w:val="1"/>
    <w:next w:val="1"/>
    <w:qFormat/>
    <w:uiPriority w:val="99"/>
    <w:pPr>
      <w:ind w:left="630"/>
      <w:jc w:val="left"/>
    </w:pPr>
    <w:rPr>
      <w:sz w:val="20"/>
      <w:szCs w:val="20"/>
    </w:rPr>
  </w:style>
  <w:style w:type="paragraph" w:styleId="59">
    <w:name w:val="index heading"/>
    <w:basedOn w:val="1"/>
    <w:next w:val="60"/>
    <w:qFormat/>
    <w:uiPriority w:val="0"/>
    <w:rPr>
      <w:rFonts w:eastAsia="仿宋_GB2312"/>
      <w:sz w:val="28"/>
    </w:rPr>
  </w:style>
  <w:style w:type="paragraph" w:styleId="60">
    <w:name w:val="index 1"/>
    <w:basedOn w:val="1"/>
    <w:next w:val="1"/>
    <w:qFormat/>
    <w:uiPriority w:val="0"/>
    <w:rPr>
      <w:rFonts w:eastAsia="仿宋_GB2312"/>
      <w:sz w:val="28"/>
    </w:rPr>
  </w:style>
  <w:style w:type="paragraph" w:styleId="61">
    <w:name w:val="Subtitle"/>
    <w:basedOn w:val="1"/>
    <w:link w:val="209"/>
    <w:qFormat/>
    <w:uiPriority w:val="0"/>
    <w:pPr>
      <w:spacing w:before="240" w:after="60" w:line="312" w:lineRule="auto"/>
      <w:jc w:val="center"/>
      <w:outlineLvl w:val="1"/>
    </w:pPr>
    <w:rPr>
      <w:rFonts w:ascii="Arial" w:hAnsi="Arial" w:cs="Arial"/>
      <w:b/>
      <w:bCs/>
      <w:kern w:val="28"/>
      <w:sz w:val="32"/>
      <w:szCs w:val="32"/>
    </w:rPr>
  </w:style>
  <w:style w:type="paragraph" w:styleId="62">
    <w:name w:val="List Number 5"/>
    <w:basedOn w:val="1"/>
    <w:qFormat/>
    <w:uiPriority w:val="0"/>
    <w:pPr>
      <w:tabs>
        <w:tab w:val="left" w:pos="2040"/>
      </w:tabs>
      <w:ind w:left="2040" w:hanging="360"/>
    </w:pPr>
  </w:style>
  <w:style w:type="paragraph" w:styleId="63">
    <w:name w:val="List"/>
    <w:basedOn w:val="1"/>
    <w:qFormat/>
    <w:uiPriority w:val="0"/>
    <w:pPr>
      <w:ind w:left="420" w:hanging="420"/>
    </w:pPr>
  </w:style>
  <w:style w:type="paragraph" w:styleId="64">
    <w:name w:val="toc 6"/>
    <w:basedOn w:val="1"/>
    <w:next w:val="1"/>
    <w:qFormat/>
    <w:uiPriority w:val="99"/>
    <w:pPr>
      <w:ind w:left="1050"/>
      <w:jc w:val="left"/>
    </w:pPr>
    <w:rPr>
      <w:sz w:val="20"/>
      <w:szCs w:val="20"/>
    </w:rPr>
  </w:style>
  <w:style w:type="paragraph" w:styleId="65">
    <w:name w:val="List 5"/>
    <w:basedOn w:val="1"/>
    <w:qFormat/>
    <w:uiPriority w:val="0"/>
    <w:pPr>
      <w:ind w:left="2100" w:hanging="420"/>
    </w:pPr>
  </w:style>
  <w:style w:type="paragraph" w:styleId="66">
    <w:name w:val="Body Text Indent 3"/>
    <w:basedOn w:val="1"/>
    <w:link w:val="162"/>
    <w:qFormat/>
    <w:uiPriority w:val="99"/>
    <w:pPr>
      <w:spacing w:after="120"/>
      <w:ind w:left="420"/>
    </w:pPr>
    <w:rPr>
      <w:sz w:val="16"/>
      <w:szCs w:val="16"/>
    </w:rPr>
  </w:style>
  <w:style w:type="paragraph" w:styleId="67">
    <w:name w:val="index 7"/>
    <w:basedOn w:val="1"/>
    <w:next w:val="1"/>
    <w:qFormat/>
    <w:uiPriority w:val="0"/>
    <w:pPr>
      <w:ind w:left="1200" w:leftChars="1200"/>
    </w:pPr>
    <w:rPr>
      <w:rFonts w:eastAsia="仿宋_GB2312"/>
      <w:sz w:val="28"/>
    </w:rPr>
  </w:style>
  <w:style w:type="paragraph" w:styleId="68">
    <w:name w:val="index 9"/>
    <w:basedOn w:val="1"/>
    <w:next w:val="1"/>
    <w:qFormat/>
    <w:uiPriority w:val="0"/>
    <w:pPr>
      <w:ind w:left="1600" w:leftChars="1600"/>
    </w:pPr>
    <w:rPr>
      <w:rFonts w:eastAsia="仿宋_GB2312"/>
      <w:sz w:val="28"/>
    </w:rPr>
  </w:style>
  <w:style w:type="paragraph" w:styleId="69">
    <w:name w:val="table of figures"/>
    <w:basedOn w:val="1"/>
    <w:next w:val="1"/>
    <w:qFormat/>
    <w:uiPriority w:val="0"/>
    <w:pPr>
      <w:ind w:left="200" w:leftChars="200" w:hanging="200" w:hangingChars="200"/>
    </w:pPr>
  </w:style>
  <w:style w:type="paragraph" w:styleId="70">
    <w:name w:val="toc 2"/>
    <w:basedOn w:val="1"/>
    <w:next w:val="1"/>
    <w:qFormat/>
    <w:uiPriority w:val="39"/>
    <w:pPr>
      <w:tabs>
        <w:tab w:val="right" w:leader="dot" w:pos="8705"/>
      </w:tabs>
      <w:ind w:left="420" w:leftChars="200"/>
    </w:pPr>
  </w:style>
  <w:style w:type="paragraph" w:styleId="71">
    <w:name w:val="toc 9"/>
    <w:basedOn w:val="1"/>
    <w:next w:val="1"/>
    <w:qFormat/>
    <w:uiPriority w:val="0"/>
    <w:pPr>
      <w:ind w:left="1680"/>
      <w:jc w:val="left"/>
    </w:pPr>
    <w:rPr>
      <w:sz w:val="20"/>
      <w:szCs w:val="20"/>
    </w:rPr>
  </w:style>
  <w:style w:type="paragraph" w:styleId="72">
    <w:name w:val="Body Text 2"/>
    <w:basedOn w:val="1"/>
    <w:link w:val="260"/>
    <w:qFormat/>
    <w:uiPriority w:val="0"/>
    <w:pPr>
      <w:spacing w:after="120" w:line="480" w:lineRule="auto"/>
    </w:pPr>
  </w:style>
  <w:style w:type="paragraph" w:styleId="73">
    <w:name w:val="List 4"/>
    <w:basedOn w:val="1"/>
    <w:qFormat/>
    <w:uiPriority w:val="0"/>
    <w:pPr>
      <w:ind w:left="1680" w:hanging="420"/>
    </w:pPr>
  </w:style>
  <w:style w:type="paragraph" w:styleId="74">
    <w:name w:val="List Continue 2"/>
    <w:basedOn w:val="1"/>
    <w:qFormat/>
    <w:uiPriority w:val="0"/>
    <w:pPr>
      <w:spacing w:after="120"/>
      <w:ind w:left="840"/>
    </w:pPr>
  </w:style>
  <w:style w:type="paragraph" w:styleId="75">
    <w:name w:val="Message Header"/>
    <w:basedOn w:val="1"/>
    <w:link w:val="248"/>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sz w:val="24"/>
    </w:rPr>
  </w:style>
  <w:style w:type="paragraph" w:styleId="76">
    <w:name w:val="HTML Preformatted"/>
    <w:basedOn w:val="1"/>
    <w:link w:val="203"/>
    <w:qFormat/>
    <w:uiPriority w:val="0"/>
    <w:rPr>
      <w:rFonts w:ascii="Courier New" w:hAnsi="Courier New" w:cs="Courier New"/>
      <w:sz w:val="20"/>
      <w:szCs w:val="20"/>
    </w:rPr>
  </w:style>
  <w:style w:type="paragraph" w:styleId="77">
    <w:name w:val="Normal (Web)"/>
    <w:basedOn w:val="1"/>
    <w:qFormat/>
    <w:uiPriority w:val="99"/>
    <w:rPr>
      <w:sz w:val="24"/>
    </w:rPr>
  </w:style>
  <w:style w:type="paragraph" w:styleId="78">
    <w:name w:val="List Continue 3"/>
    <w:basedOn w:val="1"/>
    <w:qFormat/>
    <w:uiPriority w:val="0"/>
    <w:pPr>
      <w:spacing w:after="120"/>
      <w:ind w:left="1260"/>
    </w:pPr>
  </w:style>
  <w:style w:type="paragraph" w:styleId="79">
    <w:name w:val="index 2"/>
    <w:basedOn w:val="1"/>
    <w:next w:val="1"/>
    <w:qFormat/>
    <w:uiPriority w:val="0"/>
    <w:pPr>
      <w:ind w:left="200" w:leftChars="200"/>
    </w:pPr>
    <w:rPr>
      <w:rFonts w:eastAsia="仿宋_GB2312"/>
      <w:sz w:val="28"/>
    </w:rPr>
  </w:style>
  <w:style w:type="paragraph" w:styleId="80">
    <w:name w:val="annotation subject"/>
    <w:basedOn w:val="27"/>
    <w:next w:val="27"/>
    <w:link w:val="172"/>
    <w:qFormat/>
    <w:uiPriority w:val="99"/>
    <w:rPr>
      <w:b/>
      <w:bCs/>
    </w:rPr>
  </w:style>
  <w:style w:type="paragraph" w:styleId="81">
    <w:name w:val="Body Text First Indent"/>
    <w:basedOn w:val="2"/>
    <w:link w:val="201"/>
    <w:qFormat/>
    <w:uiPriority w:val="0"/>
    <w:pPr>
      <w:ind w:firstLine="420"/>
    </w:pPr>
  </w:style>
  <w:style w:type="paragraph" w:styleId="82">
    <w:name w:val="Body Text First Indent 2"/>
    <w:basedOn w:val="33"/>
    <w:link w:val="185"/>
    <w:qFormat/>
    <w:uiPriority w:val="0"/>
    <w:pPr>
      <w:ind w:left="0" w:leftChars="0" w:firstLine="420"/>
    </w:pPr>
  </w:style>
  <w:style w:type="table" w:styleId="84">
    <w:name w:val="Table Grid"/>
    <w:basedOn w:val="83"/>
    <w:qFormat/>
    <w:uiPriority w:val="99"/>
    <w:rPr>
      <w:rFonts w:ascii="Times New Roman" w:hAnsi="Times New Roman"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86">
    <w:name w:val="Strong"/>
    <w:qFormat/>
    <w:uiPriority w:val="0"/>
    <w:rPr>
      <w:b/>
      <w:bCs/>
    </w:rPr>
  </w:style>
  <w:style w:type="character" w:styleId="87">
    <w:name w:val="page number"/>
    <w:basedOn w:val="85"/>
    <w:qFormat/>
    <w:uiPriority w:val="0"/>
  </w:style>
  <w:style w:type="character" w:styleId="88">
    <w:name w:val="FollowedHyperlink"/>
    <w:qFormat/>
    <w:uiPriority w:val="99"/>
    <w:rPr>
      <w:color w:val="800080"/>
      <w:u w:val="single"/>
    </w:rPr>
  </w:style>
  <w:style w:type="character" w:styleId="89">
    <w:name w:val="Emphasis"/>
    <w:qFormat/>
    <w:uiPriority w:val="99"/>
    <w:rPr>
      <w:i/>
      <w:iCs/>
    </w:rPr>
  </w:style>
  <w:style w:type="character" w:styleId="90">
    <w:name w:val="line number"/>
    <w:basedOn w:val="85"/>
    <w:qFormat/>
    <w:uiPriority w:val="0"/>
  </w:style>
  <w:style w:type="character" w:styleId="91">
    <w:name w:val="HTML Definition"/>
    <w:qFormat/>
    <w:uiPriority w:val="0"/>
    <w:rPr>
      <w:i/>
      <w:iCs/>
    </w:rPr>
  </w:style>
  <w:style w:type="character" w:styleId="92">
    <w:name w:val="HTML Typewriter"/>
    <w:qFormat/>
    <w:uiPriority w:val="0"/>
    <w:rPr>
      <w:rFonts w:ascii="Courier New" w:hAnsi="Courier New" w:cs="Courier New"/>
      <w:sz w:val="20"/>
      <w:szCs w:val="20"/>
    </w:rPr>
  </w:style>
  <w:style w:type="character" w:styleId="93">
    <w:name w:val="HTML Acronym"/>
    <w:basedOn w:val="85"/>
    <w:qFormat/>
    <w:uiPriority w:val="0"/>
  </w:style>
  <w:style w:type="character" w:styleId="94">
    <w:name w:val="HTML Variable"/>
    <w:qFormat/>
    <w:uiPriority w:val="0"/>
    <w:rPr>
      <w:i/>
      <w:iCs/>
    </w:rPr>
  </w:style>
  <w:style w:type="character" w:styleId="95">
    <w:name w:val="Hyperlink"/>
    <w:qFormat/>
    <w:uiPriority w:val="99"/>
    <w:rPr>
      <w:rFonts w:ascii="宋体" w:hAnsi="宋体" w:eastAsia="宋体"/>
      <w:b/>
      <w:color w:val="0000FF"/>
      <w:kern w:val="2"/>
      <w:sz w:val="24"/>
      <w:szCs w:val="24"/>
      <w:u w:val="single"/>
      <w:lang w:val="en-US" w:eastAsia="zh-CN" w:bidi="ar-SA"/>
    </w:rPr>
  </w:style>
  <w:style w:type="character" w:styleId="96">
    <w:name w:val="HTML Code"/>
    <w:qFormat/>
    <w:uiPriority w:val="0"/>
    <w:rPr>
      <w:rFonts w:ascii="Courier New" w:hAnsi="Courier New" w:cs="Courier New"/>
      <w:sz w:val="20"/>
      <w:szCs w:val="20"/>
    </w:rPr>
  </w:style>
  <w:style w:type="character" w:styleId="97">
    <w:name w:val="annotation reference"/>
    <w:qFormat/>
    <w:uiPriority w:val="0"/>
    <w:rPr>
      <w:sz w:val="21"/>
      <w:szCs w:val="21"/>
    </w:rPr>
  </w:style>
  <w:style w:type="character" w:styleId="98">
    <w:name w:val="HTML Cite"/>
    <w:qFormat/>
    <w:uiPriority w:val="0"/>
    <w:rPr>
      <w:i/>
      <w:iCs/>
    </w:rPr>
  </w:style>
  <w:style w:type="character" w:styleId="99">
    <w:name w:val="HTML Keyboard"/>
    <w:qFormat/>
    <w:uiPriority w:val="0"/>
    <w:rPr>
      <w:rFonts w:ascii="Courier New" w:hAnsi="Courier New" w:cs="Courier New"/>
      <w:sz w:val="20"/>
      <w:szCs w:val="20"/>
    </w:rPr>
  </w:style>
  <w:style w:type="character" w:styleId="100">
    <w:name w:val="HTML Sample"/>
    <w:qFormat/>
    <w:uiPriority w:val="0"/>
    <w:rPr>
      <w:rFonts w:ascii="Courier New" w:hAnsi="Courier New" w:cs="Courier New"/>
    </w:rPr>
  </w:style>
  <w:style w:type="character" w:customStyle="1" w:styleId="101">
    <w:name w:val="标题 1 Char"/>
    <w:basedOn w:val="85"/>
    <w:link w:val="4"/>
    <w:qFormat/>
    <w:uiPriority w:val="99"/>
    <w:rPr>
      <w:rFonts w:ascii="Times New Roman" w:hAnsi="Times New Roman" w:eastAsia="汉仪大宋简" w:cs="Times New Roman"/>
      <w:kern w:val="44"/>
      <w:sz w:val="22"/>
    </w:rPr>
  </w:style>
  <w:style w:type="character" w:customStyle="1" w:styleId="102">
    <w:name w:val="标题 2 Char"/>
    <w:basedOn w:val="85"/>
    <w:link w:val="5"/>
    <w:qFormat/>
    <w:uiPriority w:val="99"/>
    <w:rPr>
      <w:rFonts w:ascii="Times New Roman" w:hAnsi="Times New Roman" w:eastAsia="黑体" w:cs="Times New Roman"/>
      <w:bCs/>
      <w:szCs w:val="21"/>
    </w:rPr>
  </w:style>
  <w:style w:type="character" w:customStyle="1" w:styleId="103">
    <w:name w:val="标题 3 Char"/>
    <w:basedOn w:val="85"/>
    <w:link w:val="6"/>
    <w:qFormat/>
    <w:uiPriority w:val="99"/>
    <w:rPr>
      <w:rFonts w:ascii="Times New Roman" w:hAnsi="Times New Roman" w:eastAsia="黑体" w:cs="Times New Roman"/>
      <w:bCs/>
      <w:sz w:val="28"/>
      <w:szCs w:val="28"/>
    </w:rPr>
  </w:style>
  <w:style w:type="character" w:customStyle="1" w:styleId="104">
    <w:name w:val="标题 4 Char"/>
    <w:basedOn w:val="85"/>
    <w:link w:val="7"/>
    <w:qFormat/>
    <w:uiPriority w:val="99"/>
    <w:rPr>
      <w:rFonts w:ascii="Arial" w:hAnsi="Arial" w:eastAsia="黑体" w:cs="Times New Roman"/>
      <w:b/>
      <w:bCs/>
      <w:sz w:val="28"/>
      <w:szCs w:val="28"/>
    </w:rPr>
  </w:style>
  <w:style w:type="character" w:customStyle="1" w:styleId="105">
    <w:name w:val="标题 5 Char"/>
    <w:basedOn w:val="85"/>
    <w:link w:val="8"/>
    <w:qFormat/>
    <w:uiPriority w:val="0"/>
    <w:rPr>
      <w:rFonts w:ascii="Times New Roman" w:hAnsi="Times New Roman" w:eastAsia="黑体" w:cs="Times New Roman"/>
      <w:bCs/>
      <w:szCs w:val="28"/>
    </w:rPr>
  </w:style>
  <w:style w:type="character" w:customStyle="1" w:styleId="106">
    <w:name w:val="标题 6 Char"/>
    <w:basedOn w:val="85"/>
    <w:link w:val="9"/>
    <w:qFormat/>
    <w:uiPriority w:val="0"/>
    <w:rPr>
      <w:rFonts w:ascii="Arial" w:hAnsi="Arial" w:eastAsia="黑体" w:cs="Times New Roman"/>
      <w:b/>
      <w:bCs/>
      <w:sz w:val="24"/>
      <w:szCs w:val="24"/>
    </w:rPr>
  </w:style>
  <w:style w:type="character" w:customStyle="1" w:styleId="107">
    <w:name w:val="标题 7 Char"/>
    <w:basedOn w:val="85"/>
    <w:link w:val="10"/>
    <w:qFormat/>
    <w:uiPriority w:val="0"/>
    <w:rPr>
      <w:rFonts w:ascii="Times New Roman" w:hAnsi="Times New Roman" w:eastAsia="宋体" w:cs="Times New Roman"/>
      <w:b/>
      <w:bCs/>
      <w:sz w:val="24"/>
      <w:szCs w:val="24"/>
    </w:rPr>
  </w:style>
  <w:style w:type="character" w:customStyle="1" w:styleId="108">
    <w:name w:val="标题 8 Char"/>
    <w:basedOn w:val="85"/>
    <w:link w:val="11"/>
    <w:qFormat/>
    <w:uiPriority w:val="0"/>
    <w:rPr>
      <w:rFonts w:ascii="Arial" w:hAnsi="Arial" w:eastAsia="黑体" w:cs="Times New Roman"/>
      <w:sz w:val="24"/>
      <w:szCs w:val="24"/>
    </w:rPr>
  </w:style>
  <w:style w:type="character" w:customStyle="1" w:styleId="109">
    <w:name w:val="标题 9 Char"/>
    <w:basedOn w:val="85"/>
    <w:link w:val="12"/>
    <w:qFormat/>
    <w:uiPriority w:val="0"/>
    <w:rPr>
      <w:rFonts w:ascii="Arial" w:hAnsi="Arial" w:eastAsia="黑体" w:cs="Times New Roman"/>
      <w:szCs w:val="21"/>
    </w:rPr>
  </w:style>
  <w:style w:type="character" w:customStyle="1" w:styleId="110">
    <w:name w:val="节标题 1.1 Char"/>
    <w:qFormat/>
    <w:uiPriority w:val="0"/>
    <w:rPr>
      <w:rFonts w:eastAsia="黑体"/>
      <w:bCs/>
      <w:kern w:val="2"/>
      <w:sz w:val="21"/>
      <w:szCs w:val="21"/>
      <w:lang w:val="en-US" w:eastAsia="zh-CN" w:bidi="ar-SA"/>
    </w:rPr>
  </w:style>
  <w:style w:type="character" w:customStyle="1" w:styleId="111">
    <w:name w:val="表内居两端对齐 Char"/>
    <w:basedOn w:val="112"/>
    <w:link w:val="114"/>
    <w:qFormat/>
    <w:uiPriority w:val="0"/>
    <w:rPr>
      <w:rFonts w:eastAsia="宋体" w:cs="宋体"/>
      <w:sz w:val="18"/>
      <w:szCs w:val="18"/>
    </w:rPr>
  </w:style>
  <w:style w:type="character" w:customStyle="1" w:styleId="112">
    <w:name w:val="表内居中小五 Char"/>
    <w:link w:val="113"/>
    <w:qFormat/>
    <w:uiPriority w:val="0"/>
    <w:rPr>
      <w:rFonts w:eastAsia="宋体" w:cs="宋体"/>
      <w:sz w:val="18"/>
      <w:szCs w:val="18"/>
    </w:rPr>
  </w:style>
  <w:style w:type="paragraph" w:customStyle="1" w:styleId="113">
    <w:name w:val="表内居中小五"/>
    <w:basedOn w:val="1"/>
    <w:link w:val="112"/>
    <w:qFormat/>
    <w:uiPriority w:val="0"/>
    <w:pPr>
      <w:jc w:val="center"/>
    </w:pPr>
    <w:rPr>
      <w:rFonts w:cs="宋体" w:asciiTheme="minorHAnsi" w:hAnsiTheme="minorHAnsi"/>
      <w:sz w:val="18"/>
      <w:szCs w:val="18"/>
    </w:rPr>
  </w:style>
  <w:style w:type="paragraph" w:customStyle="1" w:styleId="114">
    <w:name w:val="表内居两端对齐"/>
    <w:basedOn w:val="113"/>
    <w:link w:val="111"/>
    <w:qFormat/>
    <w:uiPriority w:val="0"/>
    <w:pPr>
      <w:jc w:val="both"/>
    </w:pPr>
  </w:style>
  <w:style w:type="character" w:customStyle="1" w:styleId="115">
    <w:name w:val="样式 标题 4 + (符号) 宋体 Char"/>
    <w:link w:val="116"/>
    <w:qFormat/>
    <w:uiPriority w:val="0"/>
    <w:rPr>
      <w:rFonts w:ascii="宋体" w:hAnsi="Arial"/>
      <w:b/>
      <w:bCs/>
      <w:szCs w:val="21"/>
    </w:rPr>
  </w:style>
  <w:style w:type="paragraph" w:customStyle="1" w:styleId="116">
    <w:name w:val="样式 标题 4 + (符号) 宋体"/>
    <w:basedOn w:val="7"/>
    <w:link w:val="115"/>
    <w:qFormat/>
    <w:uiPriority w:val="0"/>
    <w:pPr>
      <w:keepNext w:val="0"/>
      <w:keepLines w:val="0"/>
      <w:adjustRightInd w:val="0"/>
      <w:snapToGrid w:val="0"/>
      <w:spacing w:before="0" w:after="0" w:line="360" w:lineRule="auto"/>
    </w:pPr>
    <w:rPr>
      <w:rFonts w:ascii="宋体" w:eastAsiaTheme="minorEastAsia" w:cstheme="minorBidi"/>
      <w:sz w:val="21"/>
      <w:szCs w:val="21"/>
    </w:rPr>
  </w:style>
  <w:style w:type="character" w:customStyle="1" w:styleId="117">
    <w:name w:val="首行缩进 Char"/>
    <w:link w:val="118"/>
    <w:qFormat/>
    <w:uiPriority w:val="0"/>
    <w:rPr>
      <w:rFonts w:eastAsia="方正书宋简体" w:cs="宋体"/>
    </w:rPr>
  </w:style>
  <w:style w:type="paragraph" w:customStyle="1" w:styleId="118">
    <w:name w:val="首行缩进"/>
    <w:basedOn w:val="1"/>
    <w:link w:val="117"/>
    <w:qFormat/>
    <w:uiPriority w:val="0"/>
    <w:pPr>
      <w:spacing w:line="300" w:lineRule="auto"/>
      <w:ind w:firstLine="420" w:firstLineChars="200"/>
    </w:pPr>
    <w:rPr>
      <w:rFonts w:eastAsia="方正书宋简体" w:cs="宋体" w:asciiTheme="minorHAnsi" w:hAnsiTheme="minorHAnsi"/>
      <w:szCs w:val="22"/>
    </w:rPr>
  </w:style>
  <w:style w:type="character" w:customStyle="1" w:styleId="119">
    <w:name w:val="jl 三级 Char Char"/>
    <w:link w:val="120"/>
    <w:qFormat/>
    <w:uiPriority w:val="0"/>
    <w:rPr>
      <w:rFonts w:ascii="宋体" w:hAnsi="宋体" w:eastAsia="宋体"/>
      <w:b/>
      <w:color w:val="000000"/>
      <w:sz w:val="24"/>
      <w:szCs w:val="24"/>
    </w:rPr>
  </w:style>
  <w:style w:type="paragraph" w:customStyle="1" w:styleId="120">
    <w:name w:val="jl 三级 Char"/>
    <w:basedOn w:val="1"/>
    <w:link w:val="119"/>
    <w:qFormat/>
    <w:uiPriority w:val="0"/>
    <w:pPr>
      <w:autoSpaceDE w:val="0"/>
      <w:autoSpaceDN w:val="0"/>
      <w:adjustRightInd w:val="0"/>
      <w:spacing w:beforeLines="50" w:afterLines="50"/>
      <w:ind w:firstLine="480" w:firstLineChars="200"/>
      <w:jc w:val="left"/>
      <w:textAlignment w:val="baseline"/>
      <w:outlineLvl w:val="2"/>
    </w:pPr>
    <w:rPr>
      <w:rFonts w:ascii="宋体" w:hAnsi="宋体" w:cstheme="minorBidi"/>
      <w:b/>
      <w:color w:val="000000"/>
      <w:sz w:val="24"/>
    </w:rPr>
  </w:style>
  <w:style w:type="character" w:customStyle="1" w:styleId="121">
    <w:name w:val="Char Char16"/>
    <w:qFormat/>
    <w:uiPriority w:val="0"/>
    <w:rPr>
      <w:rFonts w:ascii="Arial" w:hAnsi="Arial" w:eastAsia="黑体"/>
      <w:b/>
      <w:bCs/>
      <w:kern w:val="2"/>
      <w:sz w:val="32"/>
      <w:szCs w:val="32"/>
      <w:lang w:val="en-US" w:eastAsia="zh-CN" w:bidi="ar-SA"/>
    </w:rPr>
  </w:style>
  <w:style w:type="character" w:customStyle="1" w:styleId="122">
    <w:name w:val="二级条标题 Char"/>
    <w:link w:val="123"/>
    <w:qFormat/>
    <w:uiPriority w:val="0"/>
    <w:rPr>
      <w:rFonts w:ascii="黑体" w:eastAsia="黑体"/>
      <w:b/>
    </w:rPr>
  </w:style>
  <w:style w:type="paragraph" w:customStyle="1" w:styleId="123">
    <w:name w:val="二级条标题"/>
    <w:basedOn w:val="1"/>
    <w:next w:val="1"/>
    <w:link w:val="122"/>
    <w:qFormat/>
    <w:uiPriority w:val="0"/>
    <w:pPr>
      <w:widowControl/>
      <w:outlineLvl w:val="3"/>
    </w:pPr>
    <w:rPr>
      <w:rFonts w:ascii="黑体" w:eastAsia="黑体" w:hAnsiTheme="minorHAnsi" w:cstheme="minorBidi"/>
      <w:b/>
      <w:szCs w:val="22"/>
    </w:rPr>
  </w:style>
  <w:style w:type="character" w:customStyle="1" w:styleId="124">
    <w:name w:val="标题 1 Char Char"/>
    <w:qFormat/>
    <w:uiPriority w:val="0"/>
    <w:rPr>
      <w:rFonts w:ascii="宋体" w:eastAsia="宋体"/>
      <w:b/>
      <w:bCs/>
      <w:kern w:val="44"/>
      <w:sz w:val="21"/>
      <w:szCs w:val="21"/>
      <w:lang w:val="en-US" w:eastAsia="zh-CN" w:bidi="ar-SA"/>
    </w:rPr>
  </w:style>
  <w:style w:type="character" w:customStyle="1" w:styleId="125">
    <w:name w:val="页眉 Char"/>
    <w:link w:val="54"/>
    <w:qFormat/>
    <w:uiPriority w:val="0"/>
    <w:rPr>
      <w:rFonts w:eastAsia="宋体"/>
      <w:sz w:val="18"/>
      <w:szCs w:val="18"/>
    </w:rPr>
  </w:style>
  <w:style w:type="character" w:customStyle="1" w:styleId="126">
    <w:name w:val="页眉 Char1"/>
    <w:basedOn w:val="85"/>
    <w:qFormat/>
    <w:uiPriority w:val="99"/>
    <w:rPr>
      <w:rFonts w:ascii="Times New Roman" w:hAnsi="Times New Roman" w:eastAsia="宋体" w:cs="Times New Roman"/>
      <w:sz w:val="18"/>
      <w:szCs w:val="18"/>
    </w:rPr>
  </w:style>
  <w:style w:type="character" w:customStyle="1" w:styleId="127">
    <w:name w:val="样式 Arial"/>
    <w:qFormat/>
    <w:uiPriority w:val="0"/>
    <w:rPr>
      <w:rFonts w:hint="default" w:ascii="Times New Roman" w:hAnsi="Times New Roman" w:eastAsia="宋体" w:cs="Times New Roman"/>
      <w:sz w:val="21"/>
      <w:szCs w:val="21"/>
    </w:rPr>
  </w:style>
  <w:style w:type="character" w:customStyle="1" w:styleId="128">
    <w:name w:val="样式 标题 3 + 宋体 Char"/>
    <w:link w:val="129"/>
    <w:qFormat/>
    <w:uiPriority w:val="0"/>
    <w:rPr>
      <w:rFonts w:ascii="宋体" w:hAnsi="宋体" w:eastAsia="宋体"/>
      <w:szCs w:val="21"/>
    </w:rPr>
  </w:style>
  <w:style w:type="paragraph" w:customStyle="1" w:styleId="129">
    <w:name w:val="样式 标题 3 + 宋体"/>
    <w:basedOn w:val="6"/>
    <w:link w:val="128"/>
    <w:qFormat/>
    <w:uiPriority w:val="0"/>
    <w:pPr>
      <w:keepNext w:val="0"/>
      <w:keepLines w:val="0"/>
      <w:numPr>
        <w:numId w:val="0"/>
      </w:numPr>
      <w:tabs>
        <w:tab w:val="left" w:pos="1560"/>
      </w:tabs>
      <w:snapToGrid w:val="0"/>
      <w:spacing w:line="360" w:lineRule="auto"/>
      <w:ind w:left="360"/>
      <w:jc w:val="both"/>
    </w:pPr>
    <w:rPr>
      <w:rFonts w:ascii="宋体" w:hAnsi="宋体" w:eastAsia="宋体" w:cstheme="minorBidi"/>
      <w:bCs w:val="0"/>
      <w:sz w:val="21"/>
      <w:szCs w:val="21"/>
    </w:rPr>
  </w:style>
  <w:style w:type="character" w:customStyle="1" w:styleId="130">
    <w:name w:val="页脚 Char"/>
    <w:link w:val="52"/>
    <w:qFormat/>
    <w:uiPriority w:val="99"/>
    <w:rPr>
      <w:rFonts w:eastAsia="宋体"/>
      <w:sz w:val="18"/>
      <w:szCs w:val="18"/>
    </w:rPr>
  </w:style>
  <w:style w:type="character" w:customStyle="1" w:styleId="131">
    <w:name w:val="页脚 Char1"/>
    <w:basedOn w:val="85"/>
    <w:qFormat/>
    <w:uiPriority w:val="99"/>
    <w:rPr>
      <w:rFonts w:ascii="Times New Roman" w:hAnsi="Times New Roman" w:eastAsia="宋体" w:cs="Times New Roman"/>
      <w:sz w:val="18"/>
      <w:szCs w:val="18"/>
    </w:rPr>
  </w:style>
  <w:style w:type="character" w:customStyle="1" w:styleId="132">
    <w:name w:val="表头 Char"/>
    <w:link w:val="133"/>
    <w:qFormat/>
    <w:uiPriority w:val="0"/>
    <w:rPr>
      <w:rFonts w:eastAsia="黑体"/>
      <w:szCs w:val="21"/>
    </w:rPr>
  </w:style>
  <w:style w:type="paragraph" w:customStyle="1" w:styleId="133">
    <w:name w:val="表头"/>
    <w:basedOn w:val="1"/>
    <w:link w:val="132"/>
    <w:qFormat/>
    <w:uiPriority w:val="0"/>
    <w:pPr>
      <w:topLinePunct/>
      <w:spacing w:before="160" w:after="60"/>
      <w:jc w:val="center"/>
    </w:pPr>
    <w:rPr>
      <w:rFonts w:eastAsia="黑体" w:asciiTheme="minorHAnsi" w:hAnsiTheme="minorHAnsi" w:cstheme="minorBidi"/>
      <w:szCs w:val="21"/>
    </w:rPr>
  </w:style>
  <w:style w:type="character" w:customStyle="1" w:styleId="134">
    <w:name w:val="正文缩进 Char"/>
    <w:link w:val="21"/>
    <w:qFormat/>
    <w:uiPriority w:val="0"/>
    <w:rPr>
      <w:rFonts w:eastAsia="宋体"/>
      <w:szCs w:val="24"/>
    </w:rPr>
  </w:style>
  <w:style w:type="character" w:customStyle="1" w:styleId="135">
    <w:name w:val="样式6 Char"/>
    <w:link w:val="136"/>
    <w:qFormat/>
    <w:uiPriority w:val="0"/>
    <w:rPr>
      <w:szCs w:val="24"/>
    </w:rPr>
  </w:style>
  <w:style w:type="paragraph" w:customStyle="1" w:styleId="136">
    <w:name w:val="样式6"/>
    <w:basedOn w:val="1"/>
    <w:link w:val="135"/>
    <w:qFormat/>
    <w:uiPriority w:val="0"/>
    <w:pPr>
      <w:tabs>
        <w:tab w:val="left" w:pos="1571"/>
      </w:tabs>
      <w:ind w:left="1418" w:hanging="567"/>
    </w:pPr>
    <w:rPr>
      <w:rFonts w:asciiTheme="minorHAnsi" w:hAnsiTheme="minorHAnsi" w:eastAsiaTheme="minorEastAsia" w:cstheme="minorBidi"/>
    </w:rPr>
  </w:style>
  <w:style w:type="character" w:customStyle="1" w:styleId="137">
    <w:name w:val="Char Char2"/>
    <w:qFormat/>
    <w:uiPriority w:val="0"/>
    <w:rPr>
      <w:rFonts w:eastAsia="汉仪大宋简"/>
      <w:kern w:val="44"/>
      <w:sz w:val="22"/>
      <w:szCs w:val="22"/>
      <w:lang w:val="en-US" w:eastAsia="zh-CN" w:bidi="ar-SA"/>
    </w:rPr>
  </w:style>
  <w:style w:type="character" w:customStyle="1" w:styleId="138">
    <w:name w:val="articlebody21"/>
    <w:qFormat/>
    <w:uiPriority w:val="0"/>
    <w:rPr>
      <w:rFonts w:hint="default"/>
      <w:sz w:val="21"/>
    </w:rPr>
  </w:style>
  <w:style w:type="character" w:customStyle="1" w:styleId="139">
    <w:name w:val="纯文本 Char"/>
    <w:link w:val="43"/>
    <w:qFormat/>
    <w:uiPriority w:val="0"/>
    <w:rPr>
      <w:rFonts w:ascii="宋体" w:hAnsi="Courier New" w:eastAsia="宋体" w:cs="Courier New"/>
      <w:szCs w:val="21"/>
    </w:rPr>
  </w:style>
  <w:style w:type="character" w:customStyle="1" w:styleId="140">
    <w:name w:val="纯文本 Char1"/>
    <w:basedOn w:val="85"/>
    <w:semiHidden/>
    <w:qFormat/>
    <w:uiPriority w:val="99"/>
    <w:rPr>
      <w:rFonts w:ascii="宋体" w:hAnsi="Courier New" w:eastAsia="宋体" w:cs="Courier New"/>
      <w:szCs w:val="21"/>
    </w:rPr>
  </w:style>
  <w:style w:type="character" w:customStyle="1" w:styleId="141">
    <w:name w:val="jl 正文 Char Char Char"/>
    <w:link w:val="142"/>
    <w:qFormat/>
    <w:uiPriority w:val="0"/>
    <w:rPr>
      <w:rFonts w:ascii="宋体" w:eastAsia="宋体"/>
      <w:sz w:val="24"/>
      <w:szCs w:val="24"/>
    </w:rPr>
  </w:style>
  <w:style w:type="paragraph" w:customStyle="1" w:styleId="142">
    <w:name w:val="jl 正文 Char Char"/>
    <w:basedOn w:val="1"/>
    <w:link w:val="141"/>
    <w:qFormat/>
    <w:uiPriority w:val="0"/>
    <w:pPr>
      <w:autoSpaceDE w:val="0"/>
      <w:autoSpaceDN w:val="0"/>
      <w:adjustRightInd w:val="0"/>
      <w:ind w:firstLine="200" w:firstLineChars="200"/>
      <w:jc w:val="left"/>
      <w:textAlignment w:val="baseline"/>
    </w:pPr>
    <w:rPr>
      <w:rFonts w:ascii="宋体" w:hAnsiTheme="minorHAnsi" w:cstheme="minorBidi"/>
      <w:sz w:val="24"/>
    </w:rPr>
  </w:style>
  <w:style w:type="character" w:customStyle="1" w:styleId="143">
    <w:name w:val="正文格式 Char"/>
    <w:link w:val="144"/>
    <w:qFormat/>
    <w:uiPriority w:val="0"/>
    <w:rPr>
      <w:rFonts w:ascii="宋体" w:hAnsi="宋体" w:eastAsia="宋体"/>
      <w:bCs/>
      <w:szCs w:val="21"/>
    </w:rPr>
  </w:style>
  <w:style w:type="paragraph" w:customStyle="1" w:styleId="144">
    <w:name w:val="正文格式"/>
    <w:basedOn w:val="1"/>
    <w:link w:val="143"/>
    <w:qFormat/>
    <w:uiPriority w:val="0"/>
    <w:pPr>
      <w:topLinePunct/>
      <w:ind w:firstLine="420" w:firstLineChars="200"/>
    </w:pPr>
    <w:rPr>
      <w:rFonts w:ascii="宋体" w:hAnsi="宋体" w:cstheme="minorBidi"/>
      <w:bCs/>
      <w:szCs w:val="21"/>
    </w:rPr>
  </w:style>
  <w:style w:type="character" w:customStyle="1" w:styleId="145">
    <w:name w:val="Char Char4"/>
    <w:qFormat/>
    <w:uiPriority w:val="99"/>
    <w:rPr>
      <w:rFonts w:eastAsia="汉仪大宋简"/>
      <w:kern w:val="44"/>
      <w:sz w:val="22"/>
      <w:szCs w:val="22"/>
      <w:lang w:val="en-US" w:eastAsia="zh-CN" w:bidi="ar-SA"/>
    </w:rPr>
  </w:style>
  <w:style w:type="character" w:customStyle="1" w:styleId="146">
    <w:name w:val="正文 Char"/>
    <w:qFormat/>
    <w:uiPriority w:val="0"/>
    <w:rPr>
      <w:rFonts w:eastAsia="宋体" w:cs="宋体"/>
      <w:kern w:val="2"/>
      <w:sz w:val="21"/>
      <w:lang w:val="en-US" w:eastAsia="zh-CN" w:bidi="ar-SA"/>
    </w:rPr>
  </w:style>
  <w:style w:type="paragraph" w:customStyle="1" w:styleId="147">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kern w:val="0"/>
      <w:sz w:val="16"/>
      <w:szCs w:val="16"/>
    </w:rPr>
  </w:style>
  <w:style w:type="paragraph" w:customStyle="1" w:styleId="148">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149">
    <w:name w:val="Char Char Char Char Char Char Char Char Char Char Char Char Char"/>
    <w:basedOn w:val="1"/>
    <w:qFormat/>
    <w:uiPriority w:val="0"/>
    <w:pPr>
      <w:spacing w:line="360" w:lineRule="auto"/>
      <w:ind w:firstLine="200" w:firstLineChars="200"/>
    </w:pPr>
    <w:rPr>
      <w:rFonts w:ascii="宋体" w:hAnsi="宋体" w:cs="宋体"/>
      <w:sz w:val="24"/>
    </w:rPr>
  </w:style>
  <w:style w:type="paragraph" w:customStyle="1" w:styleId="150">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paragraph" w:customStyle="1" w:styleId="151">
    <w:name w:val="目次、标准名称标题"/>
    <w:basedOn w:val="1"/>
    <w:next w:val="152"/>
    <w:qFormat/>
    <w:uiPriority w:val="99"/>
    <w:pPr>
      <w:widowControl/>
      <w:shd w:val="clear" w:color="FFFFFF" w:fill="FFFFFF"/>
      <w:tabs>
        <w:tab w:val="left" w:pos="1140"/>
      </w:tabs>
      <w:spacing w:before="640" w:after="560" w:line="460" w:lineRule="exact"/>
      <w:jc w:val="center"/>
      <w:outlineLvl w:val="0"/>
    </w:pPr>
    <w:rPr>
      <w:rFonts w:ascii="黑体" w:eastAsia="黑体"/>
      <w:kern w:val="0"/>
      <w:sz w:val="32"/>
      <w:szCs w:val="20"/>
    </w:rPr>
  </w:style>
  <w:style w:type="paragraph" w:customStyle="1" w:styleId="152">
    <w:name w:val="段"/>
    <w:qFormat/>
    <w:uiPriority w:val="0"/>
    <w:pPr>
      <w:ind w:firstLine="200" w:firstLineChars="200"/>
      <w:jc w:val="both"/>
    </w:pPr>
    <w:rPr>
      <w:rFonts w:ascii="宋体" w:hAnsi="Times New Roman" w:eastAsia="宋体" w:cs="Times New Roman"/>
      <w:sz w:val="21"/>
      <w:lang w:val="en-US" w:eastAsia="zh-CN" w:bidi="ar-SA"/>
    </w:rPr>
  </w:style>
  <w:style w:type="paragraph" w:customStyle="1" w:styleId="153">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kern w:val="0"/>
      <w:sz w:val="16"/>
      <w:szCs w:val="16"/>
    </w:rPr>
  </w:style>
  <w:style w:type="paragraph" w:customStyle="1" w:styleId="154">
    <w:name w:val="font6"/>
    <w:basedOn w:val="1"/>
    <w:qFormat/>
    <w:uiPriority w:val="0"/>
    <w:pPr>
      <w:widowControl/>
      <w:spacing w:before="100" w:beforeAutospacing="1" w:after="100" w:afterAutospacing="1"/>
      <w:jc w:val="left"/>
    </w:pPr>
    <w:rPr>
      <w:rFonts w:hint="eastAsia" w:ascii="宋体" w:hAnsi="宋体"/>
      <w:color w:val="000000"/>
      <w:kern w:val="0"/>
      <w:sz w:val="20"/>
      <w:szCs w:val="20"/>
    </w:rPr>
  </w:style>
  <w:style w:type="paragraph" w:customStyle="1" w:styleId="155">
    <w:name w:val="font5"/>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156">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16"/>
      <w:szCs w:val="16"/>
    </w:rPr>
  </w:style>
  <w:style w:type="paragraph" w:customStyle="1" w:styleId="157">
    <w:name w:val="三级条标题"/>
    <w:basedOn w:val="123"/>
    <w:next w:val="152"/>
    <w:qFormat/>
    <w:uiPriority w:val="0"/>
    <w:pPr>
      <w:tabs>
        <w:tab w:val="left" w:pos="945"/>
        <w:tab w:val="left" w:pos="1080"/>
      </w:tabs>
      <w:outlineLvl w:val="4"/>
    </w:pPr>
  </w:style>
  <w:style w:type="paragraph" w:customStyle="1" w:styleId="158">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paragraph" w:customStyle="1" w:styleId="159">
    <w:name w:val="四级无标题条"/>
    <w:basedOn w:val="1"/>
    <w:qFormat/>
    <w:uiPriority w:val="0"/>
  </w:style>
  <w:style w:type="paragraph" w:customStyle="1" w:styleId="160">
    <w:name w:val="图说"/>
    <w:basedOn w:val="1"/>
    <w:qFormat/>
    <w:uiPriority w:val="0"/>
    <w:pPr>
      <w:topLinePunct/>
      <w:spacing w:before="40" w:after="160"/>
      <w:jc w:val="center"/>
    </w:pPr>
    <w:rPr>
      <w:rFonts w:cs="宋体"/>
      <w:sz w:val="18"/>
      <w:szCs w:val="20"/>
    </w:rPr>
  </w:style>
  <w:style w:type="paragraph" w:customStyle="1" w:styleId="161">
    <w:name w:val="附录"/>
    <w:basedOn w:val="4"/>
    <w:qFormat/>
    <w:uiPriority w:val="0"/>
    <w:pPr>
      <w:numPr>
        <w:numId w:val="0"/>
      </w:numPr>
      <w:spacing w:line="960" w:lineRule="auto"/>
      <w:ind w:firstLine="420"/>
      <w:jc w:val="center"/>
    </w:pPr>
    <w:rPr>
      <w:rFonts w:eastAsia="黑体"/>
      <w:kern w:val="2"/>
      <w:sz w:val="28"/>
      <w:szCs w:val="28"/>
    </w:rPr>
  </w:style>
  <w:style w:type="character" w:customStyle="1" w:styleId="162">
    <w:name w:val="正文文本缩进 3 Char"/>
    <w:basedOn w:val="85"/>
    <w:link w:val="66"/>
    <w:qFormat/>
    <w:uiPriority w:val="99"/>
    <w:rPr>
      <w:rFonts w:ascii="Times New Roman" w:hAnsi="Times New Roman" w:eastAsia="宋体" w:cs="Times New Roman"/>
      <w:sz w:val="16"/>
      <w:szCs w:val="16"/>
    </w:rPr>
  </w:style>
  <w:style w:type="paragraph" w:customStyle="1" w:styleId="163">
    <w:name w:val="实施日期"/>
    <w:basedOn w:val="1"/>
    <w:qFormat/>
    <w:uiPriority w:val="0"/>
    <w:pPr>
      <w:widowControl/>
      <w:jc w:val="right"/>
    </w:pPr>
    <w:rPr>
      <w:rFonts w:eastAsia="黑体"/>
      <w:kern w:val="0"/>
      <w:sz w:val="28"/>
      <w:szCs w:val="20"/>
    </w:rPr>
  </w:style>
  <w:style w:type="paragraph" w:customStyle="1" w:styleId="16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65">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0"/>
      <w:szCs w:val="20"/>
    </w:rPr>
  </w:style>
  <w:style w:type="paragraph" w:customStyle="1" w:styleId="166">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character" w:customStyle="1" w:styleId="167">
    <w:name w:val="注释标题 Char"/>
    <w:basedOn w:val="85"/>
    <w:link w:val="16"/>
    <w:qFormat/>
    <w:uiPriority w:val="0"/>
    <w:rPr>
      <w:rFonts w:ascii="Times New Roman" w:hAnsi="Times New Roman" w:eastAsia="宋体" w:cs="Times New Roman"/>
      <w:szCs w:val="24"/>
    </w:rPr>
  </w:style>
  <w:style w:type="paragraph" w:customStyle="1" w:styleId="168">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169">
    <w:name w:val="样式 标题 1 + 首行缩进:  2 字符 段前: 1 行 段后: 1 行"/>
    <w:basedOn w:val="4"/>
    <w:qFormat/>
    <w:uiPriority w:val="0"/>
    <w:pPr>
      <w:topLinePunct w:val="0"/>
      <w:spacing w:beforeLines="100" w:afterLines="100" w:line="360" w:lineRule="auto"/>
      <w:textAlignment w:val="auto"/>
    </w:pPr>
    <w:rPr>
      <w:rFonts w:eastAsia="宋体"/>
      <w:b/>
      <w:sz w:val="28"/>
      <w:szCs w:val="20"/>
    </w:rPr>
  </w:style>
  <w:style w:type="paragraph" w:customStyle="1" w:styleId="170">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character" w:customStyle="1" w:styleId="171">
    <w:name w:val="批注文字 Char"/>
    <w:basedOn w:val="85"/>
    <w:link w:val="27"/>
    <w:semiHidden/>
    <w:qFormat/>
    <w:uiPriority w:val="99"/>
    <w:rPr>
      <w:rFonts w:ascii="Times New Roman" w:hAnsi="Times New Roman" w:eastAsia="宋体" w:cs="Times New Roman"/>
      <w:szCs w:val="24"/>
    </w:rPr>
  </w:style>
  <w:style w:type="character" w:customStyle="1" w:styleId="172">
    <w:name w:val="批注主题 Char"/>
    <w:basedOn w:val="171"/>
    <w:link w:val="80"/>
    <w:qFormat/>
    <w:uiPriority w:val="99"/>
    <w:rPr>
      <w:rFonts w:ascii="Times New Roman" w:hAnsi="Times New Roman" w:eastAsia="宋体" w:cs="Times New Roman"/>
      <w:b/>
      <w:bCs/>
      <w:szCs w:val="24"/>
    </w:rPr>
  </w:style>
  <w:style w:type="character" w:customStyle="1" w:styleId="173">
    <w:name w:val="批注文字 Char1"/>
    <w:qFormat/>
    <w:locked/>
    <w:uiPriority w:val="99"/>
    <w:rPr>
      <w:kern w:val="2"/>
      <w:sz w:val="21"/>
      <w:szCs w:val="24"/>
    </w:rPr>
  </w:style>
  <w:style w:type="paragraph" w:customStyle="1" w:styleId="174">
    <w:name w:val="font0"/>
    <w:basedOn w:val="1"/>
    <w:qFormat/>
    <w:uiPriority w:val="0"/>
    <w:pPr>
      <w:widowControl/>
      <w:spacing w:before="100" w:beforeAutospacing="1" w:after="100" w:afterAutospacing="1"/>
      <w:jc w:val="left"/>
    </w:pPr>
    <w:rPr>
      <w:rFonts w:hint="eastAsia" w:ascii="宋体"/>
      <w:kern w:val="0"/>
      <w:sz w:val="24"/>
    </w:rPr>
  </w:style>
  <w:style w:type="paragraph" w:customStyle="1" w:styleId="175">
    <w:name w:val="五级无标题条"/>
    <w:basedOn w:val="1"/>
    <w:qFormat/>
    <w:uiPriority w:val="0"/>
  </w:style>
  <w:style w:type="paragraph" w:customStyle="1" w:styleId="176">
    <w:name w:val="p82"/>
    <w:basedOn w:val="1"/>
    <w:qFormat/>
    <w:uiPriority w:val="0"/>
    <w:pPr>
      <w:widowControl/>
      <w:tabs>
        <w:tab w:val="left" w:pos="460"/>
      </w:tabs>
      <w:overflowPunct w:val="0"/>
      <w:autoSpaceDE w:val="0"/>
      <w:autoSpaceDN w:val="0"/>
      <w:adjustRightInd w:val="0"/>
      <w:spacing w:line="320" w:lineRule="atLeast"/>
      <w:textAlignment w:val="baseline"/>
    </w:pPr>
    <w:rPr>
      <w:kern w:val="0"/>
      <w:sz w:val="24"/>
      <w:szCs w:val="20"/>
      <w:lang w:val="en-GB"/>
    </w:rPr>
  </w:style>
  <w:style w:type="paragraph" w:customStyle="1" w:styleId="177">
    <w:name w:val="二级无标题条"/>
    <w:basedOn w:val="1"/>
    <w:qFormat/>
    <w:uiPriority w:val="0"/>
  </w:style>
  <w:style w:type="paragraph" w:customStyle="1" w:styleId="178">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16"/>
      <w:szCs w:val="16"/>
    </w:rPr>
  </w:style>
  <w:style w:type="paragraph" w:customStyle="1" w:styleId="179">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color w:val="000000"/>
      <w:kern w:val="0"/>
      <w:sz w:val="16"/>
      <w:szCs w:val="16"/>
    </w:rPr>
  </w:style>
  <w:style w:type="paragraph" w:customStyle="1" w:styleId="180">
    <w:name w:val="数字编号列项（二级）"/>
    <w:qFormat/>
    <w:uiPriority w:val="0"/>
    <w:pPr>
      <w:jc w:val="both"/>
    </w:pPr>
    <w:rPr>
      <w:rFonts w:ascii="宋体" w:hAnsi="Times New Roman" w:eastAsia="宋体" w:cs="Times New Roman"/>
      <w:sz w:val="21"/>
      <w:lang w:val="en-US" w:eastAsia="zh-CN" w:bidi="ar-SA"/>
    </w:rPr>
  </w:style>
  <w:style w:type="paragraph" w:customStyle="1" w:styleId="181">
    <w:name w:val="样式1"/>
    <w:basedOn w:val="1"/>
    <w:qFormat/>
    <w:uiPriority w:val="99"/>
    <w:pPr>
      <w:keepNext/>
      <w:keepLines/>
      <w:topLinePunct/>
      <w:spacing w:line="1200" w:lineRule="auto"/>
      <w:jc w:val="center"/>
      <w:outlineLvl w:val="0"/>
    </w:pPr>
    <w:rPr>
      <w:rFonts w:cs="宋体"/>
      <w:b/>
      <w:kern w:val="44"/>
      <w:sz w:val="52"/>
      <w:szCs w:val="52"/>
    </w:rPr>
  </w:style>
  <w:style w:type="paragraph" w:customStyle="1" w:styleId="182">
    <w:name w:val="前言首行"/>
    <w:basedOn w:val="1"/>
    <w:qFormat/>
    <w:uiPriority w:val="99"/>
    <w:pPr>
      <w:spacing w:after="120"/>
      <w:jc w:val="center"/>
    </w:pPr>
    <w:rPr>
      <w:rFonts w:eastAsia="黑体" w:cs="宋体"/>
      <w:b/>
      <w:bCs/>
      <w:sz w:val="32"/>
      <w:szCs w:val="20"/>
    </w:rPr>
  </w:style>
  <w:style w:type="paragraph" w:customStyle="1" w:styleId="183">
    <w:name w:val="xl42"/>
    <w:basedOn w:val="1"/>
    <w:qFormat/>
    <w:uiPriority w:val="0"/>
    <w:pPr>
      <w:widowControl/>
      <w:pBdr>
        <w:left w:val="single" w:color="auto" w:sz="4" w:space="0"/>
        <w:right w:val="single" w:color="auto" w:sz="4" w:space="0"/>
      </w:pBdr>
      <w:spacing w:before="100" w:beforeAutospacing="1" w:after="100" w:afterAutospacing="1"/>
      <w:jc w:val="center"/>
      <w:textAlignment w:val="center"/>
    </w:pPr>
    <w:rPr>
      <w:color w:val="000000"/>
      <w:kern w:val="0"/>
      <w:sz w:val="16"/>
      <w:szCs w:val="16"/>
    </w:rPr>
  </w:style>
  <w:style w:type="character" w:customStyle="1" w:styleId="184">
    <w:name w:val="正文文本缩进 Char"/>
    <w:basedOn w:val="85"/>
    <w:link w:val="33"/>
    <w:qFormat/>
    <w:uiPriority w:val="99"/>
    <w:rPr>
      <w:rFonts w:ascii="Times New Roman" w:hAnsi="Times New Roman" w:eastAsia="宋体" w:cs="Times New Roman"/>
      <w:szCs w:val="24"/>
    </w:rPr>
  </w:style>
  <w:style w:type="character" w:customStyle="1" w:styleId="185">
    <w:name w:val="正文首行缩进 2 Char"/>
    <w:basedOn w:val="184"/>
    <w:link w:val="82"/>
    <w:qFormat/>
    <w:uiPriority w:val="0"/>
    <w:rPr>
      <w:rFonts w:ascii="Times New Roman" w:hAnsi="Times New Roman" w:eastAsia="宋体" w:cs="Times New Roman"/>
      <w:szCs w:val="24"/>
    </w:rPr>
  </w:style>
  <w:style w:type="paragraph" w:customStyle="1" w:styleId="186">
    <w:name w:val="样式3"/>
    <w:basedOn w:val="6"/>
    <w:link w:val="309"/>
    <w:qFormat/>
    <w:uiPriority w:val="0"/>
    <w:pPr>
      <w:tabs>
        <w:tab w:val="left" w:pos="709"/>
        <w:tab w:val="clear" w:pos="2126"/>
      </w:tabs>
      <w:topLinePunct/>
      <w:spacing w:line="720" w:lineRule="auto"/>
      <w:jc w:val="left"/>
    </w:pPr>
    <w:rPr>
      <w:rFonts w:ascii="Arial" w:hAnsi="Arial"/>
      <w:b/>
      <w:bCs w:val="0"/>
      <w:sz w:val="30"/>
      <w:szCs w:val="30"/>
    </w:rPr>
  </w:style>
  <w:style w:type="paragraph" w:customStyle="1" w:styleId="187">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textAlignment w:val="center"/>
    </w:pPr>
    <w:rPr>
      <w:color w:val="000000"/>
      <w:kern w:val="0"/>
      <w:sz w:val="16"/>
      <w:szCs w:val="16"/>
    </w:rPr>
  </w:style>
  <w:style w:type="paragraph" w:customStyle="1" w:styleId="188">
    <w:name w:val="一级无标题条"/>
    <w:basedOn w:val="1"/>
    <w:qFormat/>
    <w:uiPriority w:val="0"/>
  </w:style>
  <w:style w:type="paragraph" w:customStyle="1" w:styleId="189">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90">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color w:val="000000"/>
      <w:kern w:val="0"/>
      <w:sz w:val="16"/>
      <w:szCs w:val="16"/>
    </w:rPr>
  </w:style>
  <w:style w:type="paragraph" w:customStyle="1" w:styleId="191">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character" w:customStyle="1" w:styleId="192">
    <w:name w:val="HTML 地址 Char"/>
    <w:basedOn w:val="85"/>
    <w:link w:val="39"/>
    <w:qFormat/>
    <w:uiPriority w:val="0"/>
    <w:rPr>
      <w:rFonts w:ascii="Times New Roman" w:hAnsi="Times New Roman" w:eastAsia="宋体" w:cs="Times New Roman"/>
      <w:i/>
      <w:iCs/>
      <w:szCs w:val="24"/>
    </w:rPr>
  </w:style>
  <w:style w:type="paragraph" w:customStyle="1" w:styleId="193">
    <w:name w:val="样式 标题 5 + 右侧:  1 字符"/>
    <w:basedOn w:val="8"/>
    <w:qFormat/>
    <w:uiPriority w:val="0"/>
    <w:pPr>
      <w:adjustRightInd w:val="0"/>
      <w:ind w:right="210" w:rightChars="100"/>
      <w:textAlignment w:val="baseline"/>
    </w:pPr>
    <w:rPr>
      <w:rFonts w:eastAsia="宋体" w:cs="宋体"/>
      <w:bCs w:val="0"/>
      <w:kern w:val="0"/>
      <w:szCs w:val="20"/>
    </w:rPr>
  </w:style>
  <w:style w:type="paragraph" w:customStyle="1" w:styleId="194">
    <w:name w:val="三级无标题条"/>
    <w:basedOn w:val="1"/>
    <w:qFormat/>
    <w:uiPriority w:val="0"/>
  </w:style>
  <w:style w:type="character" w:customStyle="1" w:styleId="195">
    <w:name w:val="文档结构图 Char"/>
    <w:basedOn w:val="85"/>
    <w:link w:val="26"/>
    <w:qFormat/>
    <w:uiPriority w:val="99"/>
    <w:rPr>
      <w:rFonts w:ascii="Times New Roman" w:hAnsi="Times New Roman" w:eastAsia="宋体" w:cs="Times New Roman"/>
      <w:szCs w:val="24"/>
      <w:shd w:val="clear" w:color="auto" w:fill="000080"/>
    </w:rPr>
  </w:style>
  <w:style w:type="paragraph" w:customStyle="1" w:styleId="196">
    <w:name w:val="样式 标题 2标题 2 Char + 宋体"/>
    <w:basedOn w:val="5"/>
    <w:qFormat/>
    <w:uiPriority w:val="0"/>
    <w:pPr>
      <w:keepNext w:val="0"/>
      <w:numPr>
        <w:ilvl w:val="0"/>
        <w:numId w:val="0"/>
      </w:numPr>
      <w:tabs>
        <w:tab w:val="left" w:pos="1320"/>
      </w:tabs>
      <w:topLinePunct w:val="0"/>
      <w:adjustRightInd w:val="0"/>
      <w:snapToGrid w:val="0"/>
      <w:spacing w:line="360" w:lineRule="auto"/>
      <w:ind w:left="1320" w:hanging="420"/>
    </w:pPr>
    <w:rPr>
      <w:rFonts w:ascii="宋体" w:eastAsia="宋体"/>
      <w:bCs w:val="0"/>
    </w:rPr>
  </w:style>
  <w:style w:type="paragraph" w:customStyle="1" w:styleId="197">
    <w:name w:val="默认段落字体 Para Char Char Char Char"/>
    <w:basedOn w:val="1"/>
    <w:qFormat/>
    <w:uiPriority w:val="0"/>
    <w:rPr>
      <w:rFonts w:ascii="宋体" w:hAnsi="宋体"/>
      <w:b/>
      <w:color w:val="000000"/>
      <w:sz w:val="24"/>
    </w:rPr>
  </w:style>
  <w:style w:type="paragraph" w:customStyle="1" w:styleId="198">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99">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textAlignment w:val="center"/>
    </w:pPr>
    <w:rPr>
      <w:color w:val="000000"/>
      <w:kern w:val="0"/>
      <w:sz w:val="16"/>
      <w:szCs w:val="16"/>
    </w:rPr>
  </w:style>
  <w:style w:type="character" w:customStyle="1" w:styleId="200">
    <w:name w:val="正文文本 Char"/>
    <w:basedOn w:val="85"/>
    <w:link w:val="2"/>
    <w:qFormat/>
    <w:uiPriority w:val="99"/>
    <w:rPr>
      <w:rFonts w:ascii="Times New Roman" w:hAnsi="Times New Roman" w:eastAsia="宋体" w:cs="Times New Roman"/>
      <w:szCs w:val="24"/>
    </w:rPr>
  </w:style>
  <w:style w:type="character" w:customStyle="1" w:styleId="201">
    <w:name w:val="正文首行缩进 Char"/>
    <w:basedOn w:val="200"/>
    <w:link w:val="81"/>
    <w:qFormat/>
    <w:uiPriority w:val="0"/>
    <w:rPr>
      <w:rFonts w:ascii="Times New Roman" w:hAnsi="Times New Roman" w:eastAsia="宋体" w:cs="Times New Roman"/>
      <w:szCs w:val="24"/>
    </w:rPr>
  </w:style>
  <w:style w:type="paragraph" w:customStyle="1" w:styleId="202">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kern w:val="0"/>
      <w:sz w:val="16"/>
      <w:szCs w:val="16"/>
    </w:rPr>
  </w:style>
  <w:style w:type="character" w:customStyle="1" w:styleId="203">
    <w:name w:val="HTML 预设格式 Char"/>
    <w:basedOn w:val="85"/>
    <w:link w:val="76"/>
    <w:qFormat/>
    <w:uiPriority w:val="0"/>
    <w:rPr>
      <w:rFonts w:ascii="Courier New" w:hAnsi="Courier New" w:eastAsia="宋体" w:cs="Courier New"/>
      <w:sz w:val="20"/>
      <w:szCs w:val="20"/>
    </w:rPr>
  </w:style>
  <w:style w:type="character" w:customStyle="1" w:styleId="204">
    <w:name w:val="批注框文本 Char"/>
    <w:basedOn w:val="85"/>
    <w:qFormat/>
    <w:uiPriority w:val="99"/>
    <w:rPr>
      <w:rFonts w:ascii="Times New Roman" w:hAnsi="Times New Roman" w:eastAsia="宋体" w:cs="Times New Roman"/>
      <w:sz w:val="18"/>
      <w:szCs w:val="18"/>
    </w:rPr>
  </w:style>
  <w:style w:type="character" w:customStyle="1" w:styleId="205">
    <w:name w:val="批注框文本 Char1"/>
    <w:link w:val="51"/>
    <w:qFormat/>
    <w:locked/>
    <w:uiPriority w:val="99"/>
    <w:rPr>
      <w:rFonts w:ascii="Times New Roman" w:hAnsi="Times New Roman" w:eastAsia="宋体" w:cs="Times New Roman"/>
      <w:sz w:val="18"/>
      <w:szCs w:val="18"/>
    </w:rPr>
  </w:style>
  <w:style w:type="paragraph" w:customStyle="1" w:styleId="206">
    <w:name w:val="Char Char Char"/>
    <w:basedOn w:val="1"/>
    <w:qFormat/>
    <w:uiPriority w:val="0"/>
  </w:style>
  <w:style w:type="paragraph" w:customStyle="1" w:styleId="207">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208">
    <w:name w:val="正文1"/>
    <w:basedOn w:val="181"/>
    <w:qFormat/>
    <w:uiPriority w:val="0"/>
    <w:pPr>
      <w:keepNext w:val="0"/>
      <w:keepLines w:val="0"/>
      <w:tabs>
        <w:tab w:val="left" w:pos="2160"/>
      </w:tabs>
      <w:topLinePunct w:val="0"/>
      <w:adjustRightInd w:val="0"/>
      <w:spacing w:line="490" w:lineRule="exact"/>
      <w:textAlignment w:val="baseline"/>
      <w:outlineLvl w:val="9"/>
    </w:pPr>
    <w:rPr>
      <w:rFonts w:ascii="仿宋_GB2312" w:eastAsia="仿宋_GB2312" w:cs="Times New Roman"/>
      <w:b w:val="0"/>
      <w:kern w:val="0"/>
      <w:sz w:val="34"/>
      <w:szCs w:val="20"/>
    </w:rPr>
  </w:style>
  <w:style w:type="character" w:customStyle="1" w:styleId="209">
    <w:name w:val="副标题 Char"/>
    <w:basedOn w:val="85"/>
    <w:link w:val="61"/>
    <w:qFormat/>
    <w:uiPriority w:val="0"/>
    <w:rPr>
      <w:rFonts w:ascii="Arial" w:hAnsi="Arial" w:eastAsia="宋体" w:cs="Arial"/>
      <w:b/>
      <w:bCs/>
      <w:kern w:val="28"/>
      <w:sz w:val="32"/>
      <w:szCs w:val="32"/>
    </w:rPr>
  </w:style>
  <w:style w:type="paragraph" w:customStyle="1" w:styleId="210">
    <w:name w:val="Char3"/>
    <w:basedOn w:val="1"/>
    <w:qFormat/>
    <w:uiPriority w:val="0"/>
    <w:rPr>
      <w:szCs w:val="20"/>
    </w:rPr>
  </w:style>
  <w:style w:type="character" w:customStyle="1" w:styleId="211">
    <w:name w:val="正文文本缩进 2 Char"/>
    <w:basedOn w:val="85"/>
    <w:link w:val="49"/>
    <w:qFormat/>
    <w:uiPriority w:val="99"/>
    <w:rPr>
      <w:rFonts w:ascii="Times New Roman" w:hAnsi="Times New Roman" w:eastAsia="宋体" w:cs="Times New Roman"/>
      <w:szCs w:val="24"/>
    </w:rPr>
  </w:style>
  <w:style w:type="paragraph" w:customStyle="1" w:styleId="212">
    <w:name w:val="样式 首行缩进:  0 厘米 行距: 单倍行距"/>
    <w:basedOn w:val="1"/>
    <w:qFormat/>
    <w:uiPriority w:val="0"/>
    <w:pPr>
      <w:adjustRightInd w:val="0"/>
      <w:textAlignment w:val="baseline"/>
    </w:pPr>
    <w:rPr>
      <w:kern w:val="0"/>
      <w:szCs w:val="20"/>
    </w:rPr>
  </w:style>
  <w:style w:type="paragraph" w:customStyle="1" w:styleId="213">
    <w:name w:val="默认段落字体 Para Char Char Char Char Char"/>
    <w:basedOn w:val="1"/>
    <w:qFormat/>
    <w:uiPriority w:val="0"/>
    <w:rPr>
      <w:rFonts w:ascii="宋体" w:hAnsi="宋体"/>
      <w:b/>
      <w:color w:val="000000"/>
      <w:sz w:val="24"/>
    </w:rPr>
  </w:style>
  <w:style w:type="paragraph" w:customStyle="1" w:styleId="214">
    <w:name w:val="1"/>
    <w:basedOn w:val="1"/>
    <w:qFormat/>
    <w:uiPriority w:val="0"/>
    <w:pPr>
      <w:widowControl/>
      <w:spacing w:before="100" w:beforeAutospacing="1" w:after="100" w:afterAutospacing="1" w:line="330" w:lineRule="atLeast"/>
      <w:ind w:left="360"/>
      <w:jc w:val="left"/>
    </w:pPr>
    <w:rPr>
      <w:rFonts w:ascii="ˎ̥" w:hAnsi="ˎ̥" w:cs="宋体"/>
      <w:color w:val="51585D"/>
      <w:kern w:val="0"/>
      <w:sz w:val="24"/>
      <w:szCs w:val="18"/>
    </w:rPr>
  </w:style>
  <w:style w:type="paragraph" w:customStyle="1" w:styleId="215">
    <w:name w:val="标准书眉一"/>
    <w:qFormat/>
    <w:uiPriority w:val="0"/>
    <w:pPr>
      <w:jc w:val="both"/>
    </w:pPr>
    <w:rPr>
      <w:rFonts w:ascii="Times New Roman" w:hAnsi="Times New Roman" w:eastAsia="宋体" w:cs="Times New Roman"/>
      <w:lang w:val="en-US" w:eastAsia="zh-CN" w:bidi="ar-SA"/>
    </w:rPr>
  </w:style>
  <w:style w:type="character" w:customStyle="1" w:styleId="216">
    <w:name w:val="结束语 Char"/>
    <w:basedOn w:val="85"/>
    <w:link w:val="31"/>
    <w:qFormat/>
    <w:uiPriority w:val="0"/>
    <w:rPr>
      <w:rFonts w:ascii="Times New Roman" w:hAnsi="Times New Roman" w:eastAsia="宋体" w:cs="Times New Roman"/>
      <w:szCs w:val="24"/>
    </w:rPr>
  </w:style>
  <w:style w:type="paragraph" w:customStyle="1" w:styleId="217">
    <w:name w:val="五级条标题"/>
    <w:basedOn w:val="218"/>
    <w:next w:val="152"/>
    <w:qFormat/>
    <w:uiPriority w:val="0"/>
    <w:pPr>
      <w:tabs>
        <w:tab w:val="left" w:pos="1021"/>
        <w:tab w:val="left" w:pos="1155"/>
        <w:tab w:val="left" w:pos="1407"/>
        <w:tab w:val="left" w:pos="1440"/>
      </w:tabs>
      <w:outlineLvl w:val="6"/>
    </w:pPr>
  </w:style>
  <w:style w:type="paragraph" w:customStyle="1" w:styleId="218">
    <w:name w:val="四级条标题"/>
    <w:basedOn w:val="157"/>
    <w:next w:val="152"/>
    <w:qFormat/>
    <w:uiPriority w:val="0"/>
    <w:pPr>
      <w:tabs>
        <w:tab w:val="left" w:pos="1021"/>
        <w:tab w:val="left" w:pos="1155"/>
        <w:tab w:val="clear" w:pos="945"/>
        <w:tab w:val="clear" w:pos="1080"/>
      </w:tabs>
      <w:outlineLvl w:val="5"/>
    </w:pPr>
  </w:style>
  <w:style w:type="character" w:customStyle="1" w:styleId="219">
    <w:name w:val="标题 Char"/>
    <w:basedOn w:val="85"/>
    <w:link w:val="3"/>
    <w:qFormat/>
    <w:uiPriority w:val="99"/>
    <w:rPr>
      <w:rFonts w:ascii="Arial" w:hAnsi="Arial" w:eastAsia="宋体" w:cs="Times New Roman"/>
      <w:b/>
      <w:bCs/>
      <w:sz w:val="32"/>
      <w:szCs w:val="32"/>
    </w:rPr>
  </w:style>
  <w:style w:type="paragraph" w:customStyle="1" w:styleId="220">
    <w:name w:val="样式 标题 3 + 宋体 段前: 7.8 磅"/>
    <w:basedOn w:val="6"/>
    <w:qFormat/>
    <w:uiPriority w:val="0"/>
    <w:pPr>
      <w:keepNext w:val="0"/>
      <w:keepLines w:val="0"/>
      <w:numPr>
        <w:ilvl w:val="0"/>
        <w:numId w:val="0"/>
      </w:numPr>
      <w:tabs>
        <w:tab w:val="left" w:pos="1560"/>
      </w:tabs>
      <w:adjustRightInd w:val="0"/>
      <w:snapToGrid w:val="0"/>
      <w:spacing w:before="156" w:line="360" w:lineRule="auto"/>
      <w:ind w:left="1740" w:hanging="420"/>
      <w:jc w:val="both"/>
    </w:pPr>
    <w:rPr>
      <w:rFonts w:ascii="宋体" w:hAnsi="宋体" w:eastAsia="宋体" w:cs="宋体"/>
      <w:bCs w:val="0"/>
      <w:sz w:val="21"/>
      <w:szCs w:val="20"/>
    </w:rPr>
  </w:style>
  <w:style w:type="paragraph" w:customStyle="1" w:styleId="221">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222">
    <w:name w:val="样式7"/>
    <w:basedOn w:val="1"/>
    <w:qFormat/>
    <w:uiPriority w:val="0"/>
    <w:pPr>
      <w:tabs>
        <w:tab w:val="left" w:pos="840"/>
      </w:tabs>
      <w:ind w:left="840" w:hanging="420"/>
    </w:pPr>
  </w:style>
  <w:style w:type="paragraph" w:customStyle="1" w:styleId="223">
    <w:name w:val="xl24"/>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224">
    <w:name w:val="图形标题"/>
    <w:basedOn w:val="22"/>
    <w:qFormat/>
    <w:uiPriority w:val="0"/>
    <w:pPr>
      <w:spacing w:before="0" w:after="0"/>
      <w:jc w:val="center"/>
    </w:pPr>
    <w:rPr>
      <w:rFonts w:ascii="宋体" w:hAnsi="Plotter" w:eastAsia="宋体"/>
      <w:sz w:val="21"/>
    </w:rPr>
  </w:style>
  <w:style w:type="paragraph" w:customStyle="1" w:styleId="225">
    <w:name w:val="font7"/>
    <w:basedOn w:val="1"/>
    <w:qFormat/>
    <w:uiPriority w:val="0"/>
    <w:pPr>
      <w:widowControl/>
      <w:spacing w:before="100" w:beforeAutospacing="1" w:after="100" w:afterAutospacing="1"/>
      <w:jc w:val="left"/>
    </w:pPr>
    <w:rPr>
      <w:color w:val="000000"/>
      <w:kern w:val="0"/>
      <w:sz w:val="20"/>
      <w:szCs w:val="20"/>
    </w:rPr>
  </w:style>
  <w:style w:type="paragraph" w:customStyle="1" w:styleId="226">
    <w:name w:val="标题 3 + 小四 段前: 0 磅 段后: 0 磅 行距: 1.5 倍行距"/>
    <w:basedOn w:val="6"/>
    <w:next w:val="6"/>
    <w:qFormat/>
    <w:uiPriority w:val="0"/>
    <w:pPr>
      <w:spacing w:line="360" w:lineRule="auto"/>
    </w:pPr>
    <w:rPr>
      <w:rFonts w:cs="宋体"/>
      <w:sz w:val="24"/>
      <w:szCs w:val="20"/>
    </w:rPr>
  </w:style>
  <w:style w:type="paragraph" w:customStyle="1" w:styleId="227">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color w:val="000000"/>
      <w:kern w:val="0"/>
      <w:sz w:val="20"/>
      <w:szCs w:val="20"/>
    </w:rPr>
  </w:style>
  <w:style w:type="character" w:customStyle="1" w:styleId="228">
    <w:name w:val="签名 Char"/>
    <w:basedOn w:val="85"/>
    <w:link w:val="55"/>
    <w:qFormat/>
    <w:uiPriority w:val="0"/>
    <w:rPr>
      <w:rFonts w:ascii="Times New Roman" w:hAnsi="Times New Roman" w:eastAsia="宋体" w:cs="Times New Roman"/>
      <w:szCs w:val="24"/>
    </w:rPr>
  </w:style>
  <w:style w:type="paragraph" w:customStyle="1" w:styleId="229">
    <w:name w:val="xl31"/>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kern w:val="0"/>
      <w:sz w:val="16"/>
      <w:szCs w:val="16"/>
    </w:rPr>
  </w:style>
  <w:style w:type="paragraph" w:customStyle="1" w:styleId="230">
    <w:name w:val="一级条标题"/>
    <w:basedOn w:val="231"/>
    <w:next w:val="152"/>
    <w:qFormat/>
    <w:uiPriority w:val="0"/>
    <w:pPr>
      <w:tabs>
        <w:tab w:val="left" w:pos="420"/>
        <w:tab w:val="left" w:pos="525"/>
      </w:tabs>
      <w:spacing w:beforeLines="0" w:afterLines="0"/>
      <w:ind w:left="1260" w:hanging="420"/>
      <w:outlineLvl w:val="2"/>
    </w:pPr>
  </w:style>
  <w:style w:type="paragraph" w:customStyle="1" w:styleId="231">
    <w:name w:val="章标题"/>
    <w:next w:val="152"/>
    <w:qFormat/>
    <w:uiPriority w:val="0"/>
    <w:pPr>
      <w:tabs>
        <w:tab w:val="left" w:pos="420"/>
      </w:tabs>
      <w:spacing w:beforeLines="50" w:afterLines="50"/>
      <w:ind w:left="780" w:hanging="360"/>
      <w:jc w:val="both"/>
      <w:outlineLvl w:val="1"/>
    </w:pPr>
    <w:rPr>
      <w:rFonts w:ascii="黑体" w:hAnsi="Times New Roman" w:eastAsia="黑体" w:cs="Times New Roman"/>
      <w:b/>
      <w:sz w:val="21"/>
      <w:lang w:val="en-US" w:eastAsia="zh-CN" w:bidi="ar-SA"/>
    </w:rPr>
  </w:style>
  <w:style w:type="paragraph" w:customStyle="1" w:styleId="232">
    <w:name w:val="表文"/>
    <w:basedOn w:val="1"/>
    <w:qFormat/>
    <w:uiPriority w:val="0"/>
    <w:pPr>
      <w:topLinePunct/>
      <w:spacing w:before="40" w:after="40"/>
    </w:pPr>
    <w:rPr>
      <w:sz w:val="18"/>
      <w:szCs w:val="18"/>
    </w:rPr>
  </w:style>
  <w:style w:type="paragraph" w:customStyle="1" w:styleId="233">
    <w:name w:val="样式 标题 2 + 黑体 段前: 10.25 磅 段后: 10.25 磅 行距: 单倍行距"/>
    <w:basedOn w:val="5"/>
    <w:qFormat/>
    <w:uiPriority w:val="0"/>
    <w:pPr>
      <w:topLinePunct w:val="0"/>
      <w:adjustRightInd w:val="0"/>
      <w:spacing w:beforeLines="50" w:afterLines="50"/>
      <w:jc w:val="left"/>
      <w:textAlignment w:val="baseline"/>
    </w:pPr>
    <w:rPr>
      <w:rFonts w:ascii="黑体" w:hAnsi="黑体"/>
      <w:b/>
      <w:bCs w:val="0"/>
      <w:kern w:val="0"/>
      <w:sz w:val="24"/>
      <w:szCs w:val="20"/>
    </w:rPr>
  </w:style>
  <w:style w:type="paragraph" w:customStyle="1" w:styleId="234">
    <w:name w:val="xl50"/>
    <w:basedOn w:val="1"/>
    <w:qFormat/>
    <w:uiPriority w:val="0"/>
    <w:pPr>
      <w:widowControl/>
      <w:spacing w:before="100" w:beforeAutospacing="1" w:after="100" w:afterAutospacing="1"/>
      <w:jc w:val="center"/>
    </w:pPr>
    <w:rPr>
      <w:rFonts w:ascii="宋体" w:hAnsi="宋体"/>
      <w:kern w:val="0"/>
      <w:sz w:val="24"/>
    </w:rPr>
  </w:style>
  <w:style w:type="paragraph" w:customStyle="1" w:styleId="235">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kern w:val="0"/>
      <w:sz w:val="16"/>
      <w:szCs w:val="16"/>
    </w:rPr>
  </w:style>
  <w:style w:type="paragraph" w:customStyle="1" w:styleId="236">
    <w:name w:val="标准称谓"/>
    <w:next w:val="1"/>
    <w:qFormat/>
    <w:uiPriority w:val="99"/>
    <w:pPr>
      <w:widowControl w:val="0"/>
      <w:kinsoku w:val="0"/>
      <w:overflowPunct w:val="0"/>
      <w:autoSpaceDE w:val="0"/>
      <w:autoSpaceDN w:val="0"/>
      <w:spacing w:line="0" w:lineRule="atLeast"/>
      <w:jc w:val="distribute"/>
    </w:pPr>
    <w:rPr>
      <w:rFonts w:ascii="宋体" w:hAnsi="Times New Roman" w:eastAsia="宋体" w:cs="Times New Roman"/>
      <w:b/>
      <w:bCs/>
      <w:spacing w:val="20"/>
      <w:w w:val="148"/>
      <w:sz w:val="52"/>
      <w:lang w:val="en-US" w:eastAsia="zh-CN" w:bidi="ar-SA"/>
    </w:rPr>
  </w:style>
  <w:style w:type="paragraph" w:customStyle="1" w:styleId="237">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kern w:val="0"/>
      <w:sz w:val="20"/>
      <w:szCs w:val="20"/>
    </w:rPr>
  </w:style>
  <w:style w:type="paragraph" w:customStyle="1" w:styleId="238">
    <w:name w:val="发布日期"/>
    <w:qFormat/>
    <w:uiPriority w:val="0"/>
    <w:rPr>
      <w:rFonts w:ascii="Times New Roman" w:hAnsi="Times New Roman" w:eastAsia="黑体" w:cs="Times New Roman"/>
      <w:sz w:val="28"/>
      <w:lang w:val="en-US" w:eastAsia="zh-CN" w:bidi="ar-SA"/>
    </w:rPr>
  </w:style>
  <w:style w:type="paragraph" w:customStyle="1" w:styleId="239">
    <w:name w:val="节小标题"/>
    <w:basedOn w:val="11"/>
    <w:qFormat/>
    <w:uiPriority w:val="0"/>
    <w:pPr>
      <w:adjustRightInd w:val="0"/>
      <w:snapToGrid w:val="0"/>
      <w:spacing w:before="100" w:after="0" w:line="300" w:lineRule="auto"/>
      <w:ind w:firstLine="359"/>
      <w:outlineLvl w:val="9"/>
    </w:pPr>
    <w:rPr>
      <w:rFonts w:ascii="Times New Roman" w:hAnsi="Times New Roman" w:eastAsia="仿宋_GB2312"/>
      <w:sz w:val="30"/>
      <w:szCs w:val="20"/>
    </w:rPr>
  </w:style>
  <w:style w:type="paragraph" w:customStyle="1" w:styleId="240">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color w:val="000000"/>
      <w:kern w:val="0"/>
      <w:sz w:val="16"/>
      <w:szCs w:val="16"/>
    </w:rPr>
  </w:style>
  <w:style w:type="paragraph" w:customStyle="1" w:styleId="241">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242">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0"/>
      <w:szCs w:val="20"/>
    </w:rPr>
  </w:style>
  <w:style w:type="paragraph" w:customStyle="1" w:styleId="243">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color w:val="000000"/>
      <w:kern w:val="0"/>
      <w:sz w:val="16"/>
      <w:szCs w:val="16"/>
    </w:rPr>
  </w:style>
  <w:style w:type="paragraph" w:customStyle="1" w:styleId="244">
    <w:name w:val="Char"/>
    <w:basedOn w:val="1"/>
    <w:qFormat/>
    <w:uiPriority w:val="0"/>
  </w:style>
  <w:style w:type="paragraph" w:customStyle="1" w:styleId="245">
    <w:name w:val="样式 首行缩进:  0 厘米 行距: 单倍行距 Char"/>
    <w:basedOn w:val="1"/>
    <w:qFormat/>
    <w:uiPriority w:val="0"/>
    <w:pPr>
      <w:adjustRightInd w:val="0"/>
      <w:textAlignment w:val="baseline"/>
    </w:pPr>
    <w:rPr>
      <w:kern w:val="0"/>
      <w:szCs w:val="21"/>
    </w:rPr>
  </w:style>
  <w:style w:type="paragraph" w:customStyle="1" w:styleId="246">
    <w:name w:val="样式2"/>
    <w:basedOn w:val="5"/>
    <w:qFormat/>
    <w:uiPriority w:val="0"/>
    <w:pPr>
      <w:tabs>
        <w:tab w:val="left" w:pos="567"/>
        <w:tab w:val="left" w:pos="850"/>
        <w:tab w:val="clear" w:pos="1276"/>
      </w:tabs>
      <w:spacing w:line="960" w:lineRule="auto"/>
      <w:jc w:val="left"/>
    </w:pPr>
    <w:rPr>
      <w:b/>
      <w:bCs w:val="0"/>
      <w:sz w:val="36"/>
      <w:szCs w:val="36"/>
    </w:rPr>
  </w:style>
  <w:style w:type="paragraph" w:customStyle="1" w:styleId="247">
    <w:name w:val="jl 正文"/>
    <w:basedOn w:val="1"/>
    <w:qFormat/>
    <w:uiPriority w:val="0"/>
    <w:pPr>
      <w:autoSpaceDE w:val="0"/>
      <w:autoSpaceDN w:val="0"/>
      <w:adjustRightInd w:val="0"/>
      <w:ind w:firstLine="200" w:firstLineChars="200"/>
      <w:jc w:val="left"/>
      <w:textAlignment w:val="baseline"/>
    </w:pPr>
    <w:rPr>
      <w:rFonts w:ascii="宋体"/>
      <w:kern w:val="0"/>
      <w:sz w:val="24"/>
    </w:rPr>
  </w:style>
  <w:style w:type="character" w:customStyle="1" w:styleId="248">
    <w:name w:val="信息标题 Char"/>
    <w:basedOn w:val="85"/>
    <w:link w:val="75"/>
    <w:qFormat/>
    <w:uiPriority w:val="0"/>
    <w:rPr>
      <w:rFonts w:ascii="Arial" w:hAnsi="Arial" w:eastAsia="宋体" w:cs="Arial"/>
      <w:sz w:val="24"/>
      <w:szCs w:val="24"/>
      <w:shd w:val="pct20" w:color="auto" w:fill="auto"/>
    </w:rPr>
  </w:style>
  <w:style w:type="paragraph" w:customStyle="1" w:styleId="249">
    <w:name w:val="xl2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kern w:val="0"/>
      <w:sz w:val="16"/>
      <w:szCs w:val="16"/>
    </w:rPr>
  </w:style>
  <w:style w:type="character" w:customStyle="1" w:styleId="250">
    <w:name w:val="电子邮件签名 Char"/>
    <w:basedOn w:val="85"/>
    <w:link w:val="19"/>
    <w:qFormat/>
    <w:uiPriority w:val="0"/>
    <w:rPr>
      <w:rFonts w:ascii="Times New Roman" w:hAnsi="Times New Roman" w:eastAsia="宋体" w:cs="Times New Roman"/>
      <w:szCs w:val="24"/>
    </w:rPr>
  </w:style>
  <w:style w:type="paragraph" w:customStyle="1" w:styleId="251">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paragraph" w:customStyle="1" w:styleId="252">
    <w:name w:val="样式 Arial 首行缩进:  2 字符"/>
    <w:basedOn w:val="1"/>
    <w:qFormat/>
    <w:uiPriority w:val="0"/>
    <w:pPr>
      <w:ind w:firstLine="403" w:firstLineChars="200"/>
    </w:pPr>
    <w:rPr>
      <w:rFonts w:cs="华文新魏"/>
      <w:szCs w:val="21"/>
    </w:rPr>
  </w:style>
  <w:style w:type="paragraph" w:customStyle="1" w:styleId="253">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kern w:val="0"/>
      <w:sz w:val="20"/>
      <w:szCs w:val="20"/>
    </w:rPr>
  </w:style>
  <w:style w:type="paragraph" w:customStyle="1" w:styleId="254">
    <w:name w:val="样式 样式 标题 2 + 段前: 0.5 行 段后: 0.5 行 + 首行缩进:  2 字符 段前: 0.5 行 段后: 0..."/>
    <w:basedOn w:val="1"/>
    <w:qFormat/>
    <w:uiPriority w:val="0"/>
    <w:pPr>
      <w:keepNext/>
      <w:keepLines/>
      <w:adjustRightInd w:val="0"/>
      <w:spacing w:beforeLines="50" w:afterLines="50"/>
      <w:jc w:val="left"/>
      <w:textAlignment w:val="baseline"/>
      <w:outlineLvl w:val="1"/>
    </w:pPr>
    <w:rPr>
      <w:rFonts w:eastAsia="黑体"/>
      <w:kern w:val="0"/>
      <w:szCs w:val="20"/>
    </w:rPr>
  </w:style>
  <w:style w:type="character" w:customStyle="1" w:styleId="255">
    <w:name w:val="日期 Char"/>
    <w:basedOn w:val="85"/>
    <w:link w:val="48"/>
    <w:qFormat/>
    <w:uiPriority w:val="99"/>
    <w:rPr>
      <w:rFonts w:ascii="Times New Roman" w:hAnsi="Times New Roman" w:eastAsia="宋体" w:cs="Times New Roman"/>
      <w:szCs w:val="24"/>
    </w:rPr>
  </w:style>
  <w:style w:type="character" w:customStyle="1" w:styleId="256">
    <w:name w:val="称呼 Char"/>
    <w:basedOn w:val="85"/>
    <w:link w:val="29"/>
    <w:qFormat/>
    <w:uiPriority w:val="0"/>
    <w:rPr>
      <w:rFonts w:ascii="Times New Roman" w:hAnsi="Times New Roman" w:eastAsia="宋体" w:cs="Times New Roman"/>
      <w:szCs w:val="24"/>
    </w:rPr>
  </w:style>
  <w:style w:type="paragraph" w:customStyle="1" w:styleId="257">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olor w:val="000000"/>
      <w:kern w:val="0"/>
      <w:sz w:val="20"/>
      <w:szCs w:val="20"/>
    </w:rPr>
  </w:style>
  <w:style w:type="paragraph" w:customStyle="1" w:styleId="258">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259">
    <w:name w:val="样式4"/>
    <w:basedOn w:val="7"/>
    <w:qFormat/>
    <w:uiPriority w:val="0"/>
    <w:pPr>
      <w:topLinePunct/>
      <w:spacing w:before="0" w:after="0" w:line="480" w:lineRule="auto"/>
      <w:ind w:firstLine="420"/>
    </w:pPr>
    <w:rPr>
      <w:rFonts w:ascii="Times New Roman" w:hAnsi="Times New Roman" w:eastAsia="楷体_GB2312"/>
      <w:b w:val="0"/>
      <w:bCs w:val="0"/>
      <w:sz w:val="24"/>
      <w:szCs w:val="20"/>
    </w:rPr>
  </w:style>
  <w:style w:type="character" w:customStyle="1" w:styleId="260">
    <w:name w:val="正文文本 2 Char"/>
    <w:basedOn w:val="85"/>
    <w:link w:val="72"/>
    <w:qFormat/>
    <w:uiPriority w:val="0"/>
    <w:rPr>
      <w:rFonts w:ascii="Times New Roman" w:hAnsi="Times New Roman" w:eastAsia="宋体" w:cs="Times New Roman"/>
      <w:szCs w:val="24"/>
    </w:rPr>
  </w:style>
  <w:style w:type="paragraph" w:customStyle="1" w:styleId="261">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262">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textAlignment w:val="center"/>
    </w:pPr>
    <w:rPr>
      <w:kern w:val="0"/>
      <w:sz w:val="16"/>
      <w:szCs w:val="16"/>
    </w:rPr>
  </w:style>
  <w:style w:type="paragraph" w:customStyle="1" w:styleId="263">
    <w:name w:val="无标题条"/>
    <w:next w:val="152"/>
    <w:qFormat/>
    <w:uiPriority w:val="0"/>
    <w:pPr>
      <w:jc w:val="both"/>
    </w:pPr>
    <w:rPr>
      <w:rFonts w:ascii="Times New Roman" w:hAnsi="Times New Roman" w:eastAsia="宋体" w:cs="Times New Roman"/>
      <w:sz w:val="21"/>
      <w:lang w:val="en-US" w:eastAsia="zh-CN" w:bidi="ar-SA"/>
    </w:rPr>
  </w:style>
  <w:style w:type="character" w:customStyle="1" w:styleId="264">
    <w:name w:val="正文文本 3 Char"/>
    <w:basedOn w:val="85"/>
    <w:link w:val="30"/>
    <w:qFormat/>
    <w:uiPriority w:val="0"/>
    <w:rPr>
      <w:rFonts w:ascii="Times New Roman" w:hAnsi="Times New Roman" w:eastAsia="宋体" w:cs="Times New Roman"/>
      <w:sz w:val="16"/>
      <w:szCs w:val="16"/>
    </w:rPr>
  </w:style>
  <w:style w:type="paragraph" w:customStyle="1" w:styleId="265">
    <w:name w:val="Char Char Char Char Char Char Char"/>
    <w:basedOn w:val="1"/>
    <w:qFormat/>
    <w:uiPriority w:val="0"/>
  </w:style>
  <w:style w:type="paragraph" w:customStyle="1" w:styleId="266">
    <w:name w:val="xl49"/>
    <w:basedOn w:val="1"/>
    <w:qFormat/>
    <w:uiPriority w:val="0"/>
    <w:pPr>
      <w:widowControl/>
      <w:pBdr>
        <w:left w:val="single" w:color="auto" w:sz="4" w:space="0"/>
        <w:right w:val="single" w:color="auto" w:sz="4" w:space="0"/>
      </w:pBdr>
      <w:spacing w:before="100" w:beforeAutospacing="1" w:after="100" w:afterAutospacing="1"/>
      <w:jc w:val="center"/>
      <w:textAlignment w:val="center"/>
    </w:pPr>
    <w:rPr>
      <w:kern w:val="0"/>
      <w:sz w:val="16"/>
      <w:szCs w:val="16"/>
    </w:rPr>
  </w:style>
  <w:style w:type="paragraph" w:customStyle="1" w:styleId="267">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0"/>
      <w:szCs w:val="20"/>
    </w:rPr>
  </w:style>
  <w:style w:type="paragraph" w:customStyle="1" w:styleId="268">
    <w:name w:val="TOC 标题1"/>
    <w:basedOn w:val="4"/>
    <w:next w:val="1"/>
    <w:unhideWhenUsed/>
    <w:qFormat/>
    <w:uiPriority w:val="0"/>
    <w:pPr>
      <w:widowControl/>
      <w:numPr>
        <w:numId w:val="0"/>
      </w:numPr>
      <w:topLinePunct w:val="0"/>
      <w:spacing w:before="480" w:line="276" w:lineRule="auto"/>
      <w:jc w:val="left"/>
      <w:textAlignment w:val="auto"/>
      <w:outlineLvl w:val="9"/>
    </w:pPr>
    <w:rPr>
      <w:rFonts w:ascii="Cambria" w:hAnsi="Cambria" w:eastAsia="宋体"/>
      <w:b/>
      <w:bCs/>
      <w:color w:val="365F91"/>
      <w:kern w:val="0"/>
      <w:sz w:val="28"/>
      <w:szCs w:val="28"/>
    </w:rPr>
  </w:style>
  <w:style w:type="paragraph" w:customStyle="1" w:styleId="269">
    <w:name w:val="修订1"/>
    <w:hidden/>
    <w:qFormat/>
    <w:uiPriority w:val="99"/>
    <w:rPr>
      <w:rFonts w:ascii="Times New Roman" w:hAnsi="Times New Roman" w:eastAsia="宋体" w:cs="Times New Roman"/>
      <w:kern w:val="2"/>
      <w:sz w:val="21"/>
      <w:szCs w:val="24"/>
      <w:lang w:val="en-US" w:eastAsia="zh-CN" w:bidi="ar-SA"/>
    </w:rPr>
  </w:style>
  <w:style w:type="paragraph" w:customStyle="1" w:styleId="270">
    <w:name w:val="p0"/>
    <w:basedOn w:val="1"/>
    <w:qFormat/>
    <w:uiPriority w:val="0"/>
    <w:pPr>
      <w:widowControl/>
      <w:jc w:val="left"/>
    </w:pPr>
    <w:rPr>
      <w:kern w:val="0"/>
      <w:szCs w:val="21"/>
    </w:rPr>
  </w:style>
  <w:style w:type="paragraph" w:customStyle="1" w:styleId="271">
    <w:name w:val="列出段落1"/>
    <w:basedOn w:val="1"/>
    <w:qFormat/>
    <w:uiPriority w:val="34"/>
    <w:pPr>
      <w:ind w:firstLine="420" w:firstLineChars="200"/>
    </w:pPr>
  </w:style>
  <w:style w:type="character" w:customStyle="1" w:styleId="272">
    <w:name w:val="Heading 1 Char"/>
    <w:qFormat/>
    <w:locked/>
    <w:uiPriority w:val="99"/>
    <w:rPr>
      <w:b/>
      <w:kern w:val="44"/>
      <w:sz w:val="44"/>
    </w:rPr>
  </w:style>
  <w:style w:type="paragraph" w:customStyle="1" w:styleId="273">
    <w:name w:val="Style3"/>
    <w:basedOn w:val="5"/>
    <w:qFormat/>
    <w:uiPriority w:val="99"/>
    <w:pPr>
      <w:numPr>
        <w:ilvl w:val="0"/>
        <w:numId w:val="0"/>
      </w:numPr>
      <w:topLinePunct w:val="0"/>
      <w:spacing w:line="360" w:lineRule="auto"/>
      <w:jc w:val="left"/>
    </w:pPr>
    <w:rPr>
      <w:rFonts w:ascii="黑体" w:hAnsi="黑体" w:eastAsia="宋体"/>
      <w:szCs w:val="32"/>
    </w:rPr>
  </w:style>
  <w:style w:type="paragraph" w:customStyle="1" w:styleId="274">
    <w:name w:val="Style4"/>
    <w:basedOn w:val="5"/>
    <w:next w:val="1"/>
    <w:qFormat/>
    <w:uiPriority w:val="99"/>
    <w:pPr>
      <w:numPr>
        <w:ilvl w:val="0"/>
        <w:numId w:val="0"/>
      </w:numPr>
      <w:topLinePunct w:val="0"/>
      <w:spacing w:line="360" w:lineRule="auto"/>
      <w:jc w:val="left"/>
    </w:pPr>
    <w:rPr>
      <w:rFonts w:ascii="黑体" w:hAnsi="黑体" w:eastAsia="宋体"/>
      <w:szCs w:val="32"/>
    </w:rPr>
  </w:style>
  <w:style w:type="character" w:customStyle="1" w:styleId="275">
    <w:name w:val="Header Char"/>
    <w:qFormat/>
    <w:uiPriority w:val="99"/>
    <w:rPr>
      <w:rFonts w:ascii="Times New Roman" w:hAnsi="Times New Roman"/>
      <w:sz w:val="18"/>
    </w:rPr>
  </w:style>
  <w:style w:type="character" w:customStyle="1" w:styleId="276">
    <w:name w:val="页眉 Char2"/>
    <w:qFormat/>
    <w:locked/>
    <w:uiPriority w:val="99"/>
    <w:rPr>
      <w:sz w:val="18"/>
      <w:szCs w:val="18"/>
    </w:rPr>
  </w:style>
  <w:style w:type="character" w:customStyle="1" w:styleId="277">
    <w:name w:val="Footer Char"/>
    <w:qFormat/>
    <w:uiPriority w:val="99"/>
    <w:rPr>
      <w:rFonts w:ascii="Times New Roman" w:hAnsi="Times New Roman"/>
      <w:sz w:val="18"/>
    </w:rPr>
  </w:style>
  <w:style w:type="paragraph" w:customStyle="1" w:styleId="278">
    <w:name w:val="列出段落11"/>
    <w:basedOn w:val="1"/>
    <w:qFormat/>
    <w:uiPriority w:val="99"/>
    <w:pPr>
      <w:spacing w:line="360" w:lineRule="auto"/>
      <w:ind w:firstLine="200" w:firstLineChars="200"/>
    </w:pPr>
    <w:rPr>
      <w:rFonts w:ascii="Calibri" w:hAnsi="Calibri"/>
      <w:szCs w:val="22"/>
    </w:rPr>
  </w:style>
  <w:style w:type="character" w:customStyle="1" w:styleId="279">
    <w:name w:val="标题 1 Char1"/>
    <w:qFormat/>
    <w:locked/>
    <w:uiPriority w:val="99"/>
    <w:rPr>
      <w:rFonts w:eastAsia="黑体"/>
      <w:kern w:val="0"/>
      <w:szCs w:val="36"/>
    </w:rPr>
  </w:style>
  <w:style w:type="paragraph" w:customStyle="1" w:styleId="280">
    <w:name w:val="TOC 标题11"/>
    <w:basedOn w:val="4"/>
    <w:next w:val="1"/>
    <w:qFormat/>
    <w:uiPriority w:val="99"/>
    <w:pPr>
      <w:widowControl/>
      <w:numPr>
        <w:numId w:val="0"/>
      </w:numPr>
      <w:topLinePunct w:val="0"/>
      <w:spacing w:before="480" w:after="60" w:line="276" w:lineRule="auto"/>
      <w:jc w:val="left"/>
      <w:textAlignment w:val="auto"/>
      <w:outlineLvl w:val="9"/>
    </w:pPr>
    <w:rPr>
      <w:rFonts w:ascii="Cambria" w:hAnsi="Cambria" w:eastAsia="黑体"/>
      <w:bCs/>
      <w:color w:val="365F91"/>
      <w:kern w:val="0"/>
      <w:sz w:val="28"/>
      <w:szCs w:val="28"/>
    </w:rPr>
  </w:style>
  <w:style w:type="paragraph" w:customStyle="1" w:styleId="281">
    <w:name w:val="scfAnschrift"/>
    <w:basedOn w:val="1"/>
    <w:qFormat/>
    <w:uiPriority w:val="99"/>
    <w:pPr>
      <w:widowControl/>
      <w:tabs>
        <w:tab w:val="left" w:pos="1701"/>
      </w:tabs>
      <w:spacing w:line="240" w:lineRule="exact"/>
      <w:jc w:val="left"/>
    </w:pPr>
    <w:rPr>
      <w:rFonts w:ascii="Arial" w:hAnsi="Arial"/>
      <w:kern w:val="0"/>
      <w:sz w:val="22"/>
      <w:szCs w:val="20"/>
      <w:lang w:val="en-GB"/>
    </w:rPr>
  </w:style>
  <w:style w:type="character" w:customStyle="1" w:styleId="282">
    <w:name w:val="Char Char8"/>
    <w:qFormat/>
    <w:uiPriority w:val="99"/>
    <w:rPr>
      <w:rFonts w:ascii="宋体" w:hAnsi="宋体" w:eastAsia="宋体"/>
      <w:b/>
      <w:sz w:val="36"/>
      <w:lang w:val="en-US" w:eastAsia="zh-CN"/>
    </w:rPr>
  </w:style>
  <w:style w:type="paragraph" w:customStyle="1" w:styleId="283">
    <w:name w:val="表注"/>
    <w:basedOn w:val="1"/>
    <w:link w:val="284"/>
    <w:qFormat/>
    <w:uiPriority w:val="99"/>
    <w:pPr>
      <w:autoSpaceDE w:val="0"/>
      <w:autoSpaceDN w:val="0"/>
      <w:adjustRightInd w:val="0"/>
      <w:spacing w:line="360" w:lineRule="auto"/>
      <w:jc w:val="left"/>
    </w:pPr>
    <w:rPr>
      <w:sz w:val="18"/>
    </w:rPr>
  </w:style>
  <w:style w:type="character" w:customStyle="1" w:styleId="284">
    <w:name w:val="表注 Char"/>
    <w:link w:val="283"/>
    <w:qFormat/>
    <w:locked/>
    <w:uiPriority w:val="99"/>
    <w:rPr>
      <w:rFonts w:ascii="Times New Roman" w:hAnsi="Times New Roman" w:eastAsia="宋体" w:cs="Times New Roman"/>
      <w:sz w:val="18"/>
      <w:szCs w:val="24"/>
    </w:rPr>
  </w:style>
  <w:style w:type="character" w:customStyle="1" w:styleId="285">
    <w:name w:val="style7"/>
    <w:qFormat/>
    <w:uiPriority w:val="99"/>
  </w:style>
  <w:style w:type="paragraph" w:customStyle="1" w:styleId="286">
    <w:name w:val="CM1"/>
    <w:basedOn w:val="164"/>
    <w:next w:val="164"/>
    <w:qFormat/>
    <w:uiPriority w:val="99"/>
    <w:rPr>
      <w:rFonts w:cs="Times New Roman"/>
      <w:color w:val="auto"/>
      <w:sz w:val="20"/>
    </w:rPr>
  </w:style>
  <w:style w:type="paragraph" w:customStyle="1" w:styleId="287">
    <w:name w:val="CM77"/>
    <w:basedOn w:val="164"/>
    <w:next w:val="164"/>
    <w:qFormat/>
    <w:uiPriority w:val="99"/>
    <w:pPr>
      <w:spacing w:after="283"/>
    </w:pPr>
    <w:rPr>
      <w:rFonts w:cs="Times New Roman"/>
      <w:color w:val="auto"/>
      <w:sz w:val="20"/>
    </w:rPr>
  </w:style>
  <w:style w:type="paragraph" w:customStyle="1" w:styleId="288">
    <w:name w:val="CM79"/>
    <w:basedOn w:val="164"/>
    <w:next w:val="164"/>
    <w:qFormat/>
    <w:uiPriority w:val="99"/>
    <w:pPr>
      <w:spacing w:after="353"/>
    </w:pPr>
    <w:rPr>
      <w:rFonts w:cs="Times New Roman"/>
      <w:color w:val="auto"/>
      <w:sz w:val="20"/>
    </w:rPr>
  </w:style>
  <w:style w:type="paragraph" w:customStyle="1" w:styleId="289">
    <w:name w:val="CM2"/>
    <w:basedOn w:val="164"/>
    <w:next w:val="164"/>
    <w:qFormat/>
    <w:uiPriority w:val="99"/>
    <w:pPr>
      <w:spacing w:line="313" w:lineRule="atLeast"/>
    </w:pPr>
    <w:rPr>
      <w:rFonts w:cs="Times New Roman"/>
      <w:color w:val="auto"/>
      <w:sz w:val="20"/>
    </w:rPr>
  </w:style>
  <w:style w:type="paragraph" w:customStyle="1" w:styleId="290">
    <w:name w:val="CM81"/>
    <w:basedOn w:val="164"/>
    <w:next w:val="164"/>
    <w:qFormat/>
    <w:uiPriority w:val="99"/>
    <w:pPr>
      <w:spacing w:after="473"/>
    </w:pPr>
    <w:rPr>
      <w:rFonts w:cs="Times New Roman"/>
      <w:color w:val="auto"/>
      <w:sz w:val="20"/>
    </w:rPr>
  </w:style>
  <w:style w:type="paragraph" w:customStyle="1" w:styleId="291">
    <w:name w:val="CM32"/>
    <w:basedOn w:val="164"/>
    <w:next w:val="164"/>
    <w:qFormat/>
    <w:uiPriority w:val="99"/>
    <w:pPr>
      <w:spacing w:line="313" w:lineRule="atLeast"/>
    </w:pPr>
    <w:rPr>
      <w:rFonts w:cs="Times New Roman"/>
      <w:color w:val="auto"/>
      <w:sz w:val="20"/>
    </w:rPr>
  </w:style>
  <w:style w:type="paragraph" w:customStyle="1" w:styleId="292">
    <w:name w:val="CM89"/>
    <w:basedOn w:val="164"/>
    <w:next w:val="164"/>
    <w:qFormat/>
    <w:uiPriority w:val="99"/>
    <w:pPr>
      <w:spacing w:after="543"/>
    </w:pPr>
    <w:rPr>
      <w:rFonts w:cs="Times New Roman"/>
      <w:color w:val="auto"/>
      <w:sz w:val="20"/>
    </w:rPr>
  </w:style>
  <w:style w:type="paragraph" w:customStyle="1" w:styleId="293">
    <w:name w:val="CM73"/>
    <w:basedOn w:val="164"/>
    <w:next w:val="164"/>
    <w:qFormat/>
    <w:uiPriority w:val="99"/>
    <w:rPr>
      <w:rFonts w:cs="Times New Roman"/>
      <w:color w:val="auto"/>
      <w:sz w:val="20"/>
    </w:rPr>
  </w:style>
  <w:style w:type="paragraph" w:customStyle="1" w:styleId="294">
    <w:name w:val="CM75"/>
    <w:basedOn w:val="164"/>
    <w:next w:val="164"/>
    <w:qFormat/>
    <w:uiPriority w:val="99"/>
    <w:pPr>
      <w:spacing w:line="593" w:lineRule="atLeast"/>
    </w:pPr>
    <w:rPr>
      <w:rFonts w:cs="Times New Roman"/>
      <w:color w:val="auto"/>
      <w:sz w:val="20"/>
    </w:rPr>
  </w:style>
  <w:style w:type="paragraph" w:customStyle="1" w:styleId="295">
    <w:name w:val="Style1"/>
    <w:basedOn w:val="1"/>
    <w:link w:val="296"/>
    <w:qFormat/>
    <w:uiPriority w:val="99"/>
    <w:pPr>
      <w:widowControl/>
      <w:spacing w:after="200"/>
      <w:contextualSpacing/>
      <w:jc w:val="left"/>
    </w:pPr>
    <w:rPr>
      <w:rFonts w:ascii="宋体" w:hAnsi="宋体"/>
      <w:kern w:val="0"/>
      <w:sz w:val="24"/>
    </w:rPr>
  </w:style>
  <w:style w:type="character" w:customStyle="1" w:styleId="296">
    <w:name w:val="Style1 Char"/>
    <w:link w:val="295"/>
    <w:qFormat/>
    <w:locked/>
    <w:uiPriority w:val="99"/>
    <w:rPr>
      <w:rFonts w:ascii="宋体" w:hAnsi="宋体" w:eastAsia="宋体" w:cs="Times New Roman"/>
      <w:kern w:val="0"/>
      <w:sz w:val="24"/>
      <w:szCs w:val="24"/>
    </w:rPr>
  </w:style>
  <w:style w:type="paragraph" w:customStyle="1" w:styleId="297">
    <w:name w:val="简单回函地址"/>
    <w:basedOn w:val="1"/>
    <w:qFormat/>
    <w:uiPriority w:val="99"/>
    <w:rPr>
      <w:szCs w:val="20"/>
    </w:rPr>
  </w:style>
  <w:style w:type="character" w:customStyle="1" w:styleId="298">
    <w:name w:val="Char Char11"/>
    <w:qFormat/>
    <w:locked/>
    <w:uiPriority w:val="99"/>
    <w:rPr>
      <w:rFonts w:ascii="Arial" w:hAnsi="Arial" w:eastAsia="宋体"/>
      <w:b/>
      <w:sz w:val="22"/>
      <w:lang w:val="en-US" w:eastAsia="zh-CN"/>
    </w:rPr>
  </w:style>
  <w:style w:type="character" w:customStyle="1" w:styleId="299">
    <w:name w:val="Char Char5"/>
    <w:qFormat/>
    <w:locked/>
    <w:uiPriority w:val="99"/>
    <w:rPr>
      <w:rFonts w:ascii="Arial" w:hAnsi="Arial" w:eastAsia="宋体"/>
      <w:b/>
      <w:kern w:val="2"/>
      <w:sz w:val="32"/>
    </w:rPr>
  </w:style>
  <w:style w:type="character" w:customStyle="1" w:styleId="300">
    <w:name w:val="Char Char"/>
    <w:qFormat/>
    <w:locked/>
    <w:uiPriority w:val="99"/>
    <w:rPr>
      <w:rFonts w:ascii="宋体" w:hAnsi="宋体" w:eastAsia="宋体"/>
      <w:kern w:val="2"/>
      <w:sz w:val="24"/>
    </w:rPr>
  </w:style>
  <w:style w:type="character" w:customStyle="1" w:styleId="301">
    <w:name w:val="Char Char15"/>
    <w:qFormat/>
    <w:locked/>
    <w:uiPriority w:val="99"/>
    <w:rPr>
      <w:rFonts w:eastAsia="黑体"/>
      <w:sz w:val="36"/>
    </w:rPr>
  </w:style>
  <w:style w:type="paragraph" w:customStyle="1" w:styleId="302">
    <w:name w:val="CM5"/>
    <w:basedOn w:val="164"/>
    <w:next w:val="164"/>
    <w:qFormat/>
    <w:uiPriority w:val="0"/>
    <w:pPr>
      <w:spacing w:line="471" w:lineRule="atLeast"/>
    </w:pPr>
    <w:rPr>
      <w:rFonts w:ascii="黑体" w:eastAsia="黑体" w:cs="Times New Roman"/>
      <w:color w:val="auto"/>
      <w:szCs w:val="20"/>
    </w:rPr>
  </w:style>
  <w:style w:type="paragraph" w:customStyle="1" w:styleId="303">
    <w:name w:val="CM3"/>
    <w:basedOn w:val="164"/>
    <w:next w:val="164"/>
    <w:qFormat/>
    <w:uiPriority w:val="0"/>
    <w:pPr>
      <w:spacing w:line="468" w:lineRule="atLeast"/>
    </w:pPr>
    <w:rPr>
      <w:rFonts w:ascii="黑体" w:eastAsia="黑体" w:cs="Times New Roman"/>
      <w:color w:val="auto"/>
      <w:szCs w:val="20"/>
    </w:rPr>
  </w:style>
  <w:style w:type="paragraph" w:customStyle="1" w:styleId="304">
    <w:name w:val="CM33"/>
    <w:basedOn w:val="164"/>
    <w:next w:val="164"/>
    <w:qFormat/>
    <w:uiPriority w:val="0"/>
    <w:pPr>
      <w:spacing w:after="205"/>
    </w:pPr>
    <w:rPr>
      <w:rFonts w:ascii="黑体" w:eastAsia="黑体" w:cs="Times New Roman"/>
      <w:color w:val="auto"/>
      <w:szCs w:val="20"/>
    </w:rPr>
  </w:style>
  <w:style w:type="paragraph" w:customStyle="1" w:styleId="305">
    <w:name w:val="CM9"/>
    <w:basedOn w:val="164"/>
    <w:next w:val="164"/>
    <w:qFormat/>
    <w:uiPriority w:val="0"/>
    <w:pPr>
      <w:spacing w:line="468" w:lineRule="atLeast"/>
    </w:pPr>
    <w:rPr>
      <w:rFonts w:ascii="黑体" w:eastAsia="黑体" w:cs="Times New Roman"/>
      <w:color w:val="auto"/>
      <w:szCs w:val="20"/>
    </w:rPr>
  </w:style>
  <w:style w:type="paragraph" w:customStyle="1" w:styleId="306">
    <w:name w:val="CM10"/>
    <w:basedOn w:val="1"/>
    <w:next w:val="1"/>
    <w:qFormat/>
    <w:uiPriority w:val="0"/>
    <w:pPr>
      <w:autoSpaceDE w:val="0"/>
      <w:autoSpaceDN w:val="0"/>
      <w:adjustRightInd w:val="0"/>
      <w:spacing w:line="468" w:lineRule="atLeast"/>
      <w:jc w:val="left"/>
    </w:pPr>
    <w:rPr>
      <w:rFonts w:ascii="黑体" w:eastAsia="黑体"/>
      <w:kern w:val="0"/>
      <w:sz w:val="24"/>
      <w:szCs w:val="20"/>
    </w:rPr>
  </w:style>
  <w:style w:type="paragraph" w:customStyle="1" w:styleId="307">
    <w:name w:val="CM22"/>
    <w:basedOn w:val="164"/>
    <w:next w:val="164"/>
    <w:qFormat/>
    <w:uiPriority w:val="0"/>
    <w:pPr>
      <w:spacing w:line="468" w:lineRule="atLeast"/>
    </w:pPr>
    <w:rPr>
      <w:rFonts w:ascii="黑体" w:eastAsia="黑体" w:cs="Times New Roman"/>
      <w:color w:val="auto"/>
      <w:szCs w:val="20"/>
    </w:rPr>
  </w:style>
  <w:style w:type="paragraph" w:customStyle="1" w:styleId="308">
    <w:name w:val="CM23"/>
    <w:basedOn w:val="164"/>
    <w:next w:val="164"/>
    <w:qFormat/>
    <w:uiPriority w:val="0"/>
    <w:pPr>
      <w:spacing w:line="468" w:lineRule="atLeast"/>
    </w:pPr>
    <w:rPr>
      <w:rFonts w:ascii="黑体" w:eastAsia="黑体" w:cs="Times New Roman"/>
      <w:color w:val="auto"/>
      <w:szCs w:val="20"/>
    </w:rPr>
  </w:style>
  <w:style w:type="character" w:customStyle="1" w:styleId="309">
    <w:name w:val="样式3 Char"/>
    <w:link w:val="186"/>
    <w:qFormat/>
    <w:uiPriority w:val="0"/>
    <w:rPr>
      <w:rFonts w:ascii="Arial" w:hAnsi="Arial" w:eastAsia="黑体" w:cs="Times New Roman"/>
      <w:b/>
      <w:sz w:val="30"/>
      <w:szCs w:val="30"/>
    </w:rPr>
  </w:style>
  <w:style w:type="character" w:customStyle="1" w:styleId="310">
    <w:name w:val="首行缩进 Char Char"/>
    <w:qFormat/>
    <w:uiPriority w:val="0"/>
    <w:rPr>
      <w:rFonts w:eastAsia="方正书宋简体" w:cs="宋体"/>
      <w:kern w:val="2"/>
      <w:sz w:val="21"/>
      <w:lang w:val="en-US" w:eastAsia="zh-CN" w:bidi="ar-SA"/>
    </w:rPr>
  </w:style>
  <w:style w:type="paragraph" w:customStyle="1" w:styleId="311">
    <w:name w:val="无间隔1"/>
    <w:qFormat/>
    <w:uiPriority w:val="1"/>
    <w:pPr>
      <w:widowControl w:val="0"/>
      <w:jc w:val="both"/>
    </w:pPr>
    <w:rPr>
      <w:rFonts w:ascii="Times New Roman" w:hAnsi="Times New Roman" w:eastAsia="宋体" w:cs="Times New Roman"/>
      <w:kern w:val="2"/>
      <w:sz w:val="21"/>
      <w:szCs w:val="24"/>
      <w:lang w:val="en-US" w:eastAsia="zh-CN" w:bidi="ar-SA"/>
    </w:rPr>
  </w:style>
  <w:style w:type="paragraph" w:customStyle="1" w:styleId="312">
    <w:name w:val="CM17"/>
    <w:basedOn w:val="164"/>
    <w:next w:val="164"/>
    <w:qFormat/>
    <w:uiPriority w:val="0"/>
    <w:pPr>
      <w:spacing w:line="468" w:lineRule="atLeast"/>
    </w:pPr>
    <w:rPr>
      <w:rFonts w:ascii="黑体" w:eastAsia="黑体" w:cs="Times New Roman"/>
      <w:color w:val="auto"/>
    </w:rPr>
  </w:style>
  <w:style w:type="table" w:customStyle="1" w:styleId="313">
    <w:name w:val="网格型1"/>
    <w:basedOn w:val="83"/>
    <w:qFormat/>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4.wmf"/><Relationship Id="rId4" Type="http://schemas.openxmlformats.org/officeDocument/2006/relationships/footer" Target="footer1.xml"/><Relationship Id="rId39" Type="http://schemas.openxmlformats.org/officeDocument/2006/relationships/oleObject" Target="embeddings/oleObject12.bin"/><Relationship Id="rId38" Type="http://schemas.openxmlformats.org/officeDocument/2006/relationships/image" Target="media/image13.jpeg"/><Relationship Id="rId37" Type="http://schemas.openxmlformats.org/officeDocument/2006/relationships/image" Target="media/image12.wmf"/><Relationship Id="rId36" Type="http://schemas.openxmlformats.org/officeDocument/2006/relationships/oleObject" Target="embeddings/oleObject11.bin"/><Relationship Id="rId35" Type="http://schemas.openxmlformats.org/officeDocument/2006/relationships/oleObject" Target="embeddings/oleObject10.bin"/><Relationship Id="rId34" Type="http://schemas.openxmlformats.org/officeDocument/2006/relationships/oleObject" Target="embeddings/oleObject9.bin"/><Relationship Id="rId33" Type="http://schemas.openxmlformats.org/officeDocument/2006/relationships/image" Target="media/image11.wmf"/><Relationship Id="rId32" Type="http://schemas.openxmlformats.org/officeDocument/2006/relationships/oleObject" Target="embeddings/oleObject8.bin"/><Relationship Id="rId31" Type="http://schemas.openxmlformats.org/officeDocument/2006/relationships/image" Target="media/image10.jpeg"/><Relationship Id="rId30" Type="http://schemas.openxmlformats.org/officeDocument/2006/relationships/image" Target="media/image9.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8.wmf"/><Relationship Id="rId27" Type="http://schemas.openxmlformats.org/officeDocument/2006/relationships/oleObject" Target="embeddings/oleObject6.bin"/><Relationship Id="rId26" Type="http://schemas.openxmlformats.org/officeDocument/2006/relationships/image" Target="media/image7.png"/><Relationship Id="rId25" Type="http://schemas.openxmlformats.org/officeDocument/2006/relationships/image" Target="media/image6.wmf"/><Relationship Id="rId24" Type="http://schemas.openxmlformats.org/officeDocument/2006/relationships/oleObject" Target="embeddings/oleObject5.bin"/><Relationship Id="rId23" Type="http://schemas.openxmlformats.org/officeDocument/2006/relationships/image" Target="media/image5.wmf"/><Relationship Id="rId22" Type="http://schemas.openxmlformats.org/officeDocument/2006/relationships/oleObject" Target="embeddings/oleObject4.bin"/><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oleObject" Target="embeddings/oleObject2.bin"/><Relationship Id="rId17" Type="http://schemas.openxmlformats.org/officeDocument/2006/relationships/image" Target="media/image2.wmf"/><Relationship Id="rId16" Type="http://schemas.openxmlformats.org/officeDocument/2006/relationships/oleObject" Target="embeddings/oleObject1.bin"/><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header" Target="header3.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3B7137-2A1C-4FBC-832A-A3A9F2036BF0}">
  <ds:schemaRefs/>
</ds:datastoreItem>
</file>

<file path=docProps/app.xml><?xml version="1.0" encoding="utf-8"?>
<Properties xmlns="http://schemas.openxmlformats.org/officeDocument/2006/extended-properties" xmlns:vt="http://schemas.openxmlformats.org/officeDocument/2006/docPropsVTypes">
  <Template>Normal.dotm</Template>
  <Pages>60</Pages>
  <Words>28866</Words>
  <Characters>32766</Characters>
  <Lines>270</Lines>
  <Paragraphs>76</Paragraphs>
  <TotalTime>0</TotalTime>
  <ScaleCrop>false</ScaleCrop>
  <LinksUpToDate>false</LinksUpToDate>
  <CharactersWithSpaces>33661</CharactersWithSpaces>
  <Application>WPS Office_11.8.2.11739_F1E327BC-269C-435d-A152-05C5408002CA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2016-11-28T02:08:00Z</dcterms:created>
  <dc:creator>马志钦</dc:creator>
  <cp:lastModifiedBy>wangquanming.sbd</cp:lastModifiedBy>
  <dcterms:modified xsi:type="dcterms:W3CDTF">2025-08-01T08:52:36Z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2052-11.8.2.11739</vt:lpwstr>
  </property>
  <property fmtid="{D5CDD505-2E9C-101B-9397-08002B2CF9AE}" pid="3" name="ICV">
    <vt:lpwstr>B6804539BD5046CA81A201379C4FBB1C</vt:lpwstr>
  </property>
</Properties>
</file>